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F4032" w14:textId="18771669" w:rsidR="00C057A5" w:rsidRPr="00F05EF7" w:rsidRDefault="00C057A5" w:rsidP="00AD5592">
      <w:pPr>
        <w:widowControl w:val="0"/>
        <w:pBdr>
          <w:top w:val="nil"/>
          <w:left w:val="nil"/>
          <w:bottom w:val="nil"/>
          <w:right w:val="nil"/>
          <w:between w:val="nil"/>
        </w:pBdr>
        <w:ind w:firstLine="709"/>
        <w:jc w:val="center"/>
        <w:rPr>
          <w:rFonts w:ascii="Times New Roman" w:eastAsia="Times New Roman" w:hAnsi="Times New Roman" w:cs="Times New Roman"/>
          <w:b/>
        </w:rPr>
      </w:pPr>
      <w:r w:rsidRPr="00F05EF7">
        <w:rPr>
          <w:rFonts w:ascii="Times New Roman" w:eastAsia="Times New Roman" w:hAnsi="Times New Roman" w:cs="Times New Roman"/>
          <w:b/>
        </w:rPr>
        <w:t xml:space="preserve">A (IM) PRECISÃO NOS PLANEJAMENTOS ORÇAMENTÁRIOS </w:t>
      </w:r>
      <w:r w:rsidR="005B1839" w:rsidRPr="00F05EF7">
        <w:rPr>
          <w:rFonts w:ascii="Times New Roman" w:eastAsia="Times New Roman" w:hAnsi="Times New Roman" w:cs="Times New Roman"/>
          <w:b/>
        </w:rPr>
        <w:t xml:space="preserve">EM MUNICÍPIOS SELECIONADOS </w:t>
      </w:r>
      <w:r w:rsidRPr="00F05EF7">
        <w:rPr>
          <w:rFonts w:ascii="Times New Roman" w:eastAsia="Times New Roman" w:hAnsi="Times New Roman" w:cs="Times New Roman"/>
          <w:b/>
        </w:rPr>
        <w:t>A PARTIR DA ANÁLISE DOS CRÉDITOS ADICIONAIS</w:t>
      </w:r>
      <w:r w:rsidR="00126926">
        <w:rPr>
          <w:rStyle w:val="Refdenotaderodap"/>
          <w:rFonts w:ascii="Times New Roman" w:eastAsia="Times New Roman" w:hAnsi="Times New Roman" w:cs="Times New Roman"/>
          <w:b/>
        </w:rPr>
        <w:footnoteReference w:id="1"/>
      </w:r>
    </w:p>
    <w:p w14:paraId="409FB24F" w14:textId="10E8C8B6" w:rsidR="006C63E3" w:rsidRPr="00F05EF7" w:rsidRDefault="006C63E3" w:rsidP="00AD5592">
      <w:pPr>
        <w:widowControl w:val="0"/>
        <w:pBdr>
          <w:top w:val="nil"/>
          <w:left w:val="nil"/>
          <w:bottom w:val="nil"/>
          <w:right w:val="nil"/>
          <w:between w:val="nil"/>
        </w:pBdr>
        <w:ind w:firstLine="709"/>
        <w:jc w:val="right"/>
        <w:rPr>
          <w:rFonts w:ascii="Times New Roman" w:eastAsia="Times New Roman" w:hAnsi="Times New Roman" w:cs="Times New Roman"/>
          <w:b/>
        </w:rPr>
      </w:pPr>
    </w:p>
    <w:p w14:paraId="233D6F83" w14:textId="6DB7C3E6" w:rsidR="00C057A5" w:rsidRDefault="006C63E3" w:rsidP="00AD5592">
      <w:pPr>
        <w:widowControl w:val="0"/>
        <w:pBdr>
          <w:top w:val="nil"/>
          <w:left w:val="nil"/>
          <w:bottom w:val="nil"/>
          <w:right w:val="nil"/>
          <w:between w:val="nil"/>
        </w:pBdr>
        <w:ind w:firstLine="709"/>
        <w:jc w:val="center"/>
        <w:rPr>
          <w:rFonts w:ascii="Times New Roman" w:eastAsia="Times New Roman" w:hAnsi="Times New Roman" w:cs="Times New Roman"/>
          <w:b/>
          <w:lang w:val="en-US"/>
        </w:rPr>
      </w:pPr>
      <w:r w:rsidRPr="00F05EF7">
        <w:rPr>
          <w:rFonts w:ascii="Times New Roman" w:eastAsia="Times New Roman" w:hAnsi="Times New Roman" w:cs="Times New Roman"/>
          <w:b/>
          <w:lang w:val="en-US"/>
        </w:rPr>
        <w:t>THE (IM) PRECISION IN BUDGET PLANNING IN SELECTED MUNICIPALITIES THROUGH THE ANALYSIS OF ADDITIONAL CREDITS</w:t>
      </w:r>
    </w:p>
    <w:p w14:paraId="3DE3379B" w14:textId="50D90242" w:rsidR="00FC4D7B" w:rsidRDefault="00FC4D7B" w:rsidP="00AD5592">
      <w:pPr>
        <w:widowControl w:val="0"/>
        <w:pBdr>
          <w:top w:val="nil"/>
          <w:left w:val="nil"/>
          <w:bottom w:val="nil"/>
          <w:right w:val="nil"/>
          <w:between w:val="nil"/>
        </w:pBdr>
        <w:ind w:firstLine="709"/>
        <w:jc w:val="center"/>
        <w:rPr>
          <w:rFonts w:ascii="Times New Roman" w:eastAsia="Times New Roman" w:hAnsi="Times New Roman" w:cs="Times New Roman"/>
          <w:b/>
          <w:lang w:val="en-US"/>
        </w:rPr>
      </w:pPr>
    </w:p>
    <w:p w14:paraId="30388CB9" w14:textId="611BC684" w:rsidR="00FC4D7B" w:rsidRPr="006026C8" w:rsidRDefault="00FC4D7B" w:rsidP="00AD5592">
      <w:pPr>
        <w:widowControl w:val="0"/>
        <w:pBdr>
          <w:top w:val="nil"/>
          <w:left w:val="nil"/>
          <w:bottom w:val="nil"/>
          <w:right w:val="nil"/>
          <w:between w:val="nil"/>
        </w:pBdr>
        <w:ind w:firstLine="709"/>
        <w:jc w:val="center"/>
        <w:rPr>
          <w:rFonts w:ascii="Times New Roman" w:eastAsia="Times New Roman" w:hAnsi="Times New Roman" w:cs="Times New Roman"/>
          <w:b/>
        </w:rPr>
      </w:pPr>
      <w:r w:rsidRPr="006026C8">
        <w:rPr>
          <w:rFonts w:ascii="Times New Roman" w:eastAsia="Times New Roman" w:hAnsi="Times New Roman" w:cs="Times New Roman"/>
          <w:b/>
        </w:rPr>
        <w:t>LA (IM) PRECISIÓN EN LA PLANIFICACIÓN PRESUPUESTARIA EN MUNICIPIOS SELECCIONADOS DEL ANÁLISIS DE CRÉDITOS ADICIONALES</w:t>
      </w:r>
    </w:p>
    <w:p w14:paraId="76216C4C" w14:textId="0C5A8095" w:rsidR="00821527" w:rsidRDefault="00821527" w:rsidP="00AD5592">
      <w:pPr>
        <w:widowControl w:val="0"/>
        <w:pBdr>
          <w:top w:val="nil"/>
          <w:left w:val="nil"/>
          <w:bottom w:val="nil"/>
          <w:right w:val="nil"/>
          <w:between w:val="nil"/>
        </w:pBdr>
        <w:ind w:firstLine="709"/>
        <w:jc w:val="center"/>
        <w:rPr>
          <w:rFonts w:ascii="Times New Roman" w:eastAsia="Times New Roman" w:hAnsi="Times New Roman" w:cs="Times New Roman"/>
        </w:rPr>
      </w:pPr>
    </w:p>
    <w:p w14:paraId="07038F1A" w14:textId="2E95958D" w:rsidR="00AA126E" w:rsidRDefault="00AA126E" w:rsidP="00AD5592">
      <w:pPr>
        <w:widowControl w:val="0"/>
        <w:pBdr>
          <w:top w:val="nil"/>
          <w:left w:val="nil"/>
          <w:bottom w:val="nil"/>
          <w:right w:val="nil"/>
          <w:between w:val="nil"/>
        </w:pBdr>
        <w:ind w:firstLine="709"/>
        <w:jc w:val="center"/>
        <w:rPr>
          <w:rFonts w:ascii="Times New Roman" w:eastAsia="Times New Roman" w:hAnsi="Times New Roman" w:cs="Times New Roman"/>
        </w:rPr>
      </w:pPr>
    </w:p>
    <w:p w14:paraId="0A6549EB" w14:textId="65089E52" w:rsidR="00AA126E" w:rsidRPr="00DD1166" w:rsidRDefault="00AA126E" w:rsidP="00DD1166">
      <w:pPr>
        <w:jc w:val="center"/>
        <w:rPr>
          <w:rFonts w:ascii="Times New Roman" w:hAnsi="Times New Roman" w:cs="Times New Roman"/>
        </w:rPr>
      </w:pPr>
      <w:r w:rsidRPr="00DD1166">
        <w:rPr>
          <w:rFonts w:ascii="Times New Roman" w:hAnsi="Times New Roman" w:cs="Times New Roman"/>
          <w:b/>
          <w:bCs/>
        </w:rPr>
        <w:t>Rodrigo dos Santos Mathias.</w:t>
      </w:r>
      <w:r w:rsidRPr="00DD1166">
        <w:rPr>
          <w:rFonts w:ascii="Times New Roman" w:hAnsi="Times New Roman" w:cs="Times New Roman"/>
        </w:rPr>
        <w:t xml:space="preserve"> Universidade Federal do Pampa (UNIPAMPA), País</w:t>
      </w:r>
      <w:r w:rsidRPr="00DD1166">
        <w:rPr>
          <w:rFonts w:ascii="Times New Roman" w:hAnsi="Times New Roman" w:cs="Times New Roman"/>
        </w:rPr>
        <w:tab/>
        <w:t>Brasil. Mestre em Gestão de Organizações Públicas da Universidade Federal de Santa Maria - UFSM (2019). Especializando em Direito Público pela Universidade de Caxias do Sul - UCS. Especialista em Direito Tributário pela AVM (2016) e em Gestão Pública pela Estácio/</w:t>
      </w:r>
      <w:proofErr w:type="spellStart"/>
      <w:r w:rsidRPr="00DD1166">
        <w:rPr>
          <w:rFonts w:ascii="Times New Roman" w:hAnsi="Times New Roman" w:cs="Times New Roman"/>
        </w:rPr>
        <w:t>Uniseb</w:t>
      </w:r>
      <w:proofErr w:type="spellEnd"/>
      <w:r w:rsidRPr="00DD1166">
        <w:rPr>
          <w:rFonts w:ascii="Times New Roman" w:hAnsi="Times New Roman" w:cs="Times New Roman"/>
        </w:rPr>
        <w:t xml:space="preserve"> (2016). Bacharel em Direito pela Universidade Franciscana - UFN (2017). Possui graduação em Ciências Contábeis pela Universidade Franciscana - UFN (2013). Atualmente é Contador na Fundação Universidade Federal do Pampa (UNIPAMPA).</w:t>
      </w:r>
    </w:p>
    <w:p w14:paraId="5A70FAA7" w14:textId="77777777" w:rsidR="00DD1166" w:rsidRPr="00DD1166" w:rsidRDefault="00DD1166" w:rsidP="00DD1166">
      <w:pPr>
        <w:jc w:val="center"/>
        <w:rPr>
          <w:rFonts w:ascii="Times New Roman" w:hAnsi="Times New Roman" w:cs="Times New Roman"/>
        </w:rPr>
      </w:pPr>
    </w:p>
    <w:p w14:paraId="28114E29" w14:textId="7C19C604" w:rsidR="00AA126E" w:rsidRPr="00DD1166" w:rsidRDefault="00AA126E" w:rsidP="00DD1166">
      <w:pPr>
        <w:jc w:val="center"/>
        <w:rPr>
          <w:rFonts w:ascii="Times New Roman" w:hAnsi="Times New Roman" w:cs="Times New Roman"/>
        </w:rPr>
      </w:pPr>
      <w:r w:rsidRPr="00DD1166">
        <w:rPr>
          <w:rFonts w:ascii="Times New Roman" w:hAnsi="Times New Roman" w:cs="Times New Roman"/>
          <w:b/>
          <w:bCs/>
        </w:rPr>
        <w:t>Nelson Guilherme Machado Pinto.</w:t>
      </w:r>
      <w:r w:rsidRPr="00DD1166">
        <w:rPr>
          <w:rFonts w:ascii="Times New Roman" w:hAnsi="Times New Roman" w:cs="Times New Roman"/>
        </w:rPr>
        <w:t xml:space="preserve"> Universidade Federal de Santa Maria</w:t>
      </w:r>
    </w:p>
    <w:p w14:paraId="5C64865C" w14:textId="7EDF3BE8" w:rsidR="00AA126E" w:rsidRPr="00DD1166" w:rsidRDefault="00AA126E" w:rsidP="00DD1166">
      <w:pPr>
        <w:jc w:val="center"/>
        <w:rPr>
          <w:rFonts w:ascii="Times New Roman" w:hAnsi="Times New Roman" w:cs="Times New Roman"/>
        </w:rPr>
      </w:pPr>
      <w:r w:rsidRPr="00DD1166">
        <w:rPr>
          <w:rFonts w:ascii="Times New Roman" w:hAnsi="Times New Roman" w:cs="Times New Roman"/>
        </w:rPr>
        <w:t>País</w:t>
      </w:r>
      <w:r w:rsidR="00FE3FA2">
        <w:rPr>
          <w:rFonts w:ascii="Times New Roman" w:hAnsi="Times New Roman" w:cs="Times New Roman"/>
        </w:rPr>
        <w:t xml:space="preserve"> </w:t>
      </w:r>
      <w:r w:rsidRPr="00DD1166">
        <w:rPr>
          <w:rFonts w:ascii="Times New Roman" w:hAnsi="Times New Roman" w:cs="Times New Roman"/>
        </w:rPr>
        <w:t xml:space="preserve">Brasil. Professor Adjunto da Universidade Federal de Santa Maria (UFSM) lotado no Departamento de Administração no Campus Palmeira das Missões, Professor do Programa de Pós-Graduação em </w:t>
      </w:r>
      <w:r w:rsidR="00F7582A">
        <w:rPr>
          <w:rFonts w:ascii="Times New Roman" w:hAnsi="Times New Roman" w:cs="Times New Roman"/>
        </w:rPr>
        <w:t>Administração Pública</w:t>
      </w:r>
      <w:r w:rsidRPr="00DD1166">
        <w:rPr>
          <w:rFonts w:ascii="Times New Roman" w:hAnsi="Times New Roman" w:cs="Times New Roman"/>
        </w:rPr>
        <w:t xml:space="preserve"> e Professor do Programa de Pós-Graduação em Gestão de Organizações Públicas da Universidade Federal de Santa Maria (PPGOP/UFSM). Atualmente é Chefe do Departamento de Administração da UFSM, Coordenador do Grupo de Estudos em </w:t>
      </w:r>
      <w:r w:rsidR="00F7582A">
        <w:rPr>
          <w:rFonts w:ascii="Times New Roman" w:hAnsi="Times New Roman" w:cs="Times New Roman"/>
        </w:rPr>
        <w:t>Administração Pública</w:t>
      </w:r>
      <w:r w:rsidRPr="00DD1166">
        <w:rPr>
          <w:rFonts w:ascii="Times New Roman" w:hAnsi="Times New Roman" w:cs="Times New Roman"/>
        </w:rPr>
        <w:t>, Econômica e Financeira (GEAPEF), participante do Grupo de Extensão e Pesquisa em Estratégia Organizacional (GEPEO) e Líder da linha de pesquisa Ferramentas de Avaliação e Controle da Gestão Pública do PPGOP/UFSM. Doutor em Administração pela UFSM na linha de pesquisa de Economia, Controle e Finanças. Mestre em Administração pela UFSM na linha de pesquisa de Economia, Controle e Finanças. Bacharel em Administração pela UFSM.</w:t>
      </w:r>
    </w:p>
    <w:p w14:paraId="0AB63C64" w14:textId="77777777" w:rsidR="00DD1166" w:rsidRPr="00DD1166" w:rsidRDefault="00DD1166" w:rsidP="00DD1166">
      <w:pPr>
        <w:jc w:val="center"/>
        <w:rPr>
          <w:rFonts w:ascii="Times New Roman" w:hAnsi="Times New Roman" w:cs="Times New Roman"/>
        </w:rPr>
      </w:pPr>
    </w:p>
    <w:p w14:paraId="3D8C1E18" w14:textId="5A7A5557" w:rsidR="008B7F90" w:rsidRDefault="00AA126E" w:rsidP="00FE3FA2">
      <w:pPr>
        <w:jc w:val="center"/>
        <w:rPr>
          <w:rFonts w:ascii="Times New Roman" w:hAnsi="Times New Roman" w:cs="Times New Roman"/>
        </w:rPr>
      </w:pPr>
      <w:r w:rsidRPr="00DD1166">
        <w:rPr>
          <w:rFonts w:ascii="Times New Roman" w:hAnsi="Times New Roman" w:cs="Times New Roman"/>
          <w:b/>
          <w:bCs/>
        </w:rPr>
        <w:t>Marcos Lucas de Oliveira.</w:t>
      </w:r>
      <w:r w:rsidRPr="00DD1166">
        <w:rPr>
          <w:rFonts w:ascii="Times New Roman" w:hAnsi="Times New Roman" w:cs="Times New Roman"/>
        </w:rPr>
        <w:t xml:space="preserve"> Universidade Federal de Santa Catarina. País</w:t>
      </w:r>
      <w:r w:rsidRPr="00DD1166">
        <w:rPr>
          <w:rFonts w:ascii="Times New Roman" w:hAnsi="Times New Roman" w:cs="Times New Roman"/>
        </w:rPr>
        <w:tab/>
        <w:t>Brasil. Doutorando em Engenharia de Produção pela Universidade Federal de Santa Catarina (em andamento), Mestre em Engenharia de Produção formado pela Universidade Federal de Santa Maria (2018), Engenheiro de Segurança do Trabalho formado pela Universidade Franciscana (2017), Engenheiro de Produção formado pela Universidade Federal de Santa Maria (2015), Técnico em Automação Industrial (2012) formado pela Universidade Federal de Santa Maria. Tem experiência na área de Engenharia de Produção, atuando principalmente nos seguintes temas: Análise de Riscos, Perícia em Engenharia, Engenharia de segurança do trabalho, Desenvolvimento de Produto e Ergonomia. Na UFSC atua dentro do Grupo de Pesquisa Multidisciplinar de Ergonomia do Trabalho e Tecnologias Aplicadas - GMETTA.</w:t>
      </w:r>
    </w:p>
    <w:p w14:paraId="2228CF16" w14:textId="77777777" w:rsidR="00FE3FA2" w:rsidRPr="00DD1166" w:rsidRDefault="00FE3FA2" w:rsidP="00FE3FA2">
      <w:pPr>
        <w:jc w:val="center"/>
        <w:rPr>
          <w:rFonts w:ascii="Times New Roman" w:hAnsi="Times New Roman" w:cs="Times New Roman"/>
        </w:rPr>
      </w:pPr>
    </w:p>
    <w:p w14:paraId="35C92350" w14:textId="77777777" w:rsidR="00C057A5" w:rsidRPr="00F05EF7" w:rsidRDefault="0010504B" w:rsidP="00DD1166">
      <w:pPr>
        <w:widowControl w:val="0"/>
        <w:pBdr>
          <w:top w:val="nil"/>
          <w:left w:val="nil"/>
          <w:bottom w:val="nil"/>
          <w:right w:val="nil"/>
          <w:between w:val="nil"/>
        </w:pBdr>
        <w:tabs>
          <w:tab w:val="left" w:pos="284"/>
        </w:tabs>
        <w:jc w:val="both"/>
        <w:rPr>
          <w:rFonts w:ascii="Times New Roman" w:eastAsia="Times New Roman" w:hAnsi="Times New Roman" w:cs="Times New Roman"/>
          <w:b/>
        </w:rPr>
      </w:pPr>
      <w:r w:rsidRPr="00F05EF7">
        <w:rPr>
          <w:rFonts w:ascii="Times New Roman" w:eastAsia="Times New Roman" w:hAnsi="Times New Roman" w:cs="Times New Roman"/>
          <w:b/>
        </w:rPr>
        <w:t>RESUMO</w:t>
      </w:r>
    </w:p>
    <w:p w14:paraId="6D6FF2BB" w14:textId="1B7C73BA" w:rsidR="00821527" w:rsidRPr="00DD1166" w:rsidRDefault="003726A1" w:rsidP="00DD1166">
      <w:pPr>
        <w:widowControl w:val="0"/>
        <w:pBdr>
          <w:top w:val="nil"/>
          <w:left w:val="nil"/>
          <w:bottom w:val="nil"/>
          <w:right w:val="nil"/>
          <w:between w:val="nil"/>
        </w:pBdr>
        <w:tabs>
          <w:tab w:val="left" w:pos="284"/>
        </w:tabs>
        <w:jc w:val="both"/>
        <w:rPr>
          <w:rFonts w:ascii="Times New Roman" w:eastAsia="Times New Roman" w:hAnsi="Times New Roman" w:cs="Times New Roman"/>
          <w:b/>
        </w:rPr>
      </w:pPr>
      <w:r>
        <w:rPr>
          <w:rFonts w:ascii="Times New Roman" w:eastAsia="Times New Roman" w:hAnsi="Times New Roman" w:cs="Times New Roman"/>
        </w:rPr>
        <w:t>E</w:t>
      </w:r>
      <w:r w:rsidR="0010504B" w:rsidRPr="00F05EF7">
        <w:rPr>
          <w:rFonts w:ascii="Times New Roman" w:eastAsia="Times New Roman" w:hAnsi="Times New Roman" w:cs="Times New Roman"/>
        </w:rPr>
        <w:t xml:space="preserve">sse </w:t>
      </w:r>
      <w:r w:rsidR="00B563AC" w:rsidRPr="00F05EF7">
        <w:rPr>
          <w:rFonts w:ascii="Times New Roman" w:eastAsia="Times New Roman" w:hAnsi="Times New Roman" w:cs="Times New Roman"/>
        </w:rPr>
        <w:t>estudo</w:t>
      </w:r>
      <w:r w:rsidR="0010504B" w:rsidRPr="00F05EF7">
        <w:rPr>
          <w:rFonts w:ascii="Times New Roman" w:eastAsia="Times New Roman" w:hAnsi="Times New Roman" w:cs="Times New Roman"/>
        </w:rPr>
        <w:t xml:space="preserve"> </w:t>
      </w:r>
      <w:r w:rsidR="00B563AC" w:rsidRPr="00F05EF7">
        <w:rPr>
          <w:rFonts w:ascii="Times New Roman" w:eastAsia="Times New Roman" w:hAnsi="Times New Roman" w:cs="Times New Roman"/>
        </w:rPr>
        <w:t>teve</w:t>
      </w:r>
      <w:r w:rsidR="0010504B" w:rsidRPr="00F05EF7">
        <w:rPr>
          <w:rFonts w:ascii="Times New Roman" w:eastAsia="Times New Roman" w:hAnsi="Times New Roman" w:cs="Times New Roman"/>
        </w:rPr>
        <w:t xml:space="preserve"> por objetivo analisar </w:t>
      </w:r>
      <w:r w:rsidR="00D37790" w:rsidRPr="00F05EF7">
        <w:rPr>
          <w:rFonts w:ascii="Times New Roman" w:eastAsia="Times New Roman" w:hAnsi="Times New Roman" w:cs="Times New Roman"/>
        </w:rPr>
        <w:t xml:space="preserve">se </w:t>
      </w:r>
      <w:r w:rsidR="0010504B" w:rsidRPr="00F05EF7">
        <w:rPr>
          <w:rFonts w:ascii="Times New Roman" w:eastAsia="Times New Roman" w:hAnsi="Times New Roman" w:cs="Times New Roman"/>
        </w:rPr>
        <w:t>os planejamentos orçamentários dos municípios pertencentes à</w:t>
      </w:r>
      <w:r w:rsidR="001C4655">
        <w:rPr>
          <w:rFonts w:ascii="Times New Roman" w:eastAsia="Times New Roman" w:hAnsi="Times New Roman" w:cs="Times New Roman"/>
        </w:rPr>
        <w:t xml:space="preserve"> microrregião de Restinga Seca - </w:t>
      </w:r>
      <w:r w:rsidR="0010504B" w:rsidRPr="00F05EF7">
        <w:rPr>
          <w:rFonts w:ascii="Times New Roman" w:eastAsia="Times New Roman" w:hAnsi="Times New Roman" w:cs="Times New Roman"/>
        </w:rPr>
        <w:t>RS</w:t>
      </w:r>
      <w:r w:rsidR="00B563AC" w:rsidRPr="00F05EF7">
        <w:rPr>
          <w:rFonts w:ascii="Times New Roman" w:eastAsia="Times New Roman" w:hAnsi="Times New Roman" w:cs="Times New Roman"/>
        </w:rPr>
        <w:t xml:space="preserve"> são eficientes</w:t>
      </w:r>
      <w:r w:rsidR="0010504B" w:rsidRPr="00F05EF7">
        <w:rPr>
          <w:rFonts w:ascii="Times New Roman" w:eastAsia="Times New Roman" w:hAnsi="Times New Roman" w:cs="Times New Roman"/>
        </w:rPr>
        <w:t xml:space="preserve"> por meio da utilização de créditos adicionais. A metodologia adotada é de natureza aplicada, cujos objetivos são caracterizados como exploratórios, baseado em um estudo de caso. A pesquisa</w:t>
      </w:r>
      <w:r w:rsidR="00890B18" w:rsidRPr="00F05EF7">
        <w:rPr>
          <w:rFonts w:ascii="Times New Roman" w:eastAsia="Times New Roman" w:hAnsi="Times New Roman" w:cs="Times New Roman"/>
        </w:rPr>
        <w:t>,</w:t>
      </w:r>
      <w:r w:rsidR="0010504B" w:rsidRPr="00F05EF7">
        <w:rPr>
          <w:rFonts w:ascii="Times New Roman" w:eastAsia="Times New Roman" w:hAnsi="Times New Roman" w:cs="Times New Roman"/>
        </w:rPr>
        <w:t xml:space="preserve"> de modo geral, </w:t>
      </w:r>
      <w:r w:rsidR="00B563AC" w:rsidRPr="00F05EF7">
        <w:rPr>
          <w:rFonts w:ascii="Times New Roman" w:eastAsia="Times New Roman" w:hAnsi="Times New Roman" w:cs="Times New Roman"/>
        </w:rPr>
        <w:lastRenderedPageBreak/>
        <w:t>deu-se mediante</w:t>
      </w:r>
      <w:r w:rsidR="0010504B" w:rsidRPr="00F05EF7">
        <w:rPr>
          <w:rFonts w:ascii="Times New Roman" w:eastAsia="Times New Roman" w:hAnsi="Times New Roman" w:cs="Times New Roman"/>
        </w:rPr>
        <w:t xml:space="preserve"> análises documentais. </w:t>
      </w:r>
      <w:r w:rsidR="002A451D" w:rsidRPr="00F05EF7">
        <w:rPr>
          <w:rFonts w:ascii="Times New Roman" w:eastAsia="Times New Roman" w:hAnsi="Times New Roman" w:cs="Times New Roman"/>
        </w:rPr>
        <w:t>Os resultados da pesquisa mostram</w:t>
      </w:r>
      <w:r w:rsidR="00B563AC" w:rsidRPr="00F05EF7">
        <w:rPr>
          <w:rFonts w:ascii="Times New Roman" w:eastAsia="Times New Roman" w:hAnsi="Times New Roman" w:cs="Times New Roman"/>
        </w:rPr>
        <w:t xml:space="preserve"> que os municípios estudados são ineficientes nos seus planejamentos orçamentários, dados os elevados índices de imprecisão que foram apurados.</w:t>
      </w:r>
      <w:r w:rsidR="002A451D" w:rsidRPr="00F05EF7">
        <w:rPr>
          <w:rFonts w:ascii="Times New Roman" w:eastAsia="Times New Roman" w:hAnsi="Times New Roman" w:cs="Times New Roman"/>
        </w:rPr>
        <w:t xml:space="preserve"> </w:t>
      </w:r>
      <w:r w:rsidR="00890B18" w:rsidRPr="00F05EF7">
        <w:rPr>
          <w:rFonts w:ascii="Times New Roman" w:eastAsia="Times New Roman" w:hAnsi="Times New Roman" w:cs="Times New Roman"/>
        </w:rPr>
        <w:t>Tais</w:t>
      </w:r>
      <w:r w:rsidR="002A451D" w:rsidRPr="00F05EF7">
        <w:rPr>
          <w:rFonts w:ascii="Times New Roman" w:eastAsia="Times New Roman" w:hAnsi="Times New Roman" w:cs="Times New Roman"/>
        </w:rPr>
        <w:t xml:space="preserve"> índices </w:t>
      </w:r>
      <w:r w:rsidR="00890B18" w:rsidRPr="00F05EF7">
        <w:rPr>
          <w:rFonts w:ascii="Times New Roman" w:eastAsia="Times New Roman" w:hAnsi="Times New Roman" w:cs="Times New Roman"/>
        </w:rPr>
        <w:t xml:space="preserve">refletem os </w:t>
      </w:r>
      <w:r w:rsidR="002A451D" w:rsidRPr="00F05EF7">
        <w:rPr>
          <w:rFonts w:ascii="Times New Roman" w:eastAsia="Times New Roman" w:hAnsi="Times New Roman" w:cs="Times New Roman"/>
        </w:rPr>
        <w:t>montantes de créditos adicionais abertos no</w:t>
      </w:r>
      <w:r w:rsidR="00890B18" w:rsidRPr="00F05EF7">
        <w:rPr>
          <w:rFonts w:ascii="Times New Roman" w:eastAsia="Times New Roman" w:hAnsi="Times New Roman" w:cs="Times New Roman"/>
        </w:rPr>
        <w:t>s</w:t>
      </w:r>
      <w:r w:rsidR="002A451D" w:rsidRPr="00F05EF7">
        <w:rPr>
          <w:rFonts w:ascii="Times New Roman" w:eastAsia="Times New Roman" w:hAnsi="Times New Roman" w:cs="Times New Roman"/>
        </w:rPr>
        <w:t xml:space="preserve"> exercício</w:t>
      </w:r>
      <w:r w:rsidR="00890B18" w:rsidRPr="00F05EF7">
        <w:rPr>
          <w:rFonts w:ascii="Times New Roman" w:eastAsia="Times New Roman" w:hAnsi="Times New Roman" w:cs="Times New Roman"/>
        </w:rPr>
        <w:t>s</w:t>
      </w:r>
      <w:r w:rsidR="002A451D" w:rsidRPr="00F05EF7">
        <w:rPr>
          <w:rFonts w:ascii="Times New Roman" w:eastAsia="Times New Roman" w:hAnsi="Times New Roman" w:cs="Times New Roman"/>
        </w:rPr>
        <w:t xml:space="preserve"> financeiro</w:t>
      </w:r>
      <w:r w:rsidR="00890B18" w:rsidRPr="00F05EF7">
        <w:rPr>
          <w:rFonts w:ascii="Times New Roman" w:eastAsia="Times New Roman" w:hAnsi="Times New Roman" w:cs="Times New Roman"/>
        </w:rPr>
        <w:t xml:space="preserve">s, deixando clara a </w:t>
      </w:r>
      <w:r w:rsidR="002A451D" w:rsidRPr="00F05EF7">
        <w:rPr>
          <w:rFonts w:ascii="Times New Roman" w:eastAsia="Times New Roman" w:hAnsi="Times New Roman" w:cs="Times New Roman"/>
        </w:rPr>
        <w:t>imprecisão</w:t>
      </w:r>
      <w:r w:rsidR="00890B18" w:rsidRPr="00F05EF7">
        <w:rPr>
          <w:rFonts w:ascii="Times New Roman" w:eastAsia="Times New Roman" w:hAnsi="Times New Roman" w:cs="Times New Roman"/>
        </w:rPr>
        <w:t xml:space="preserve"> nos planejamentos orçamentários, quando se analisam as alterações entre orçado e executado</w:t>
      </w:r>
      <w:r w:rsidR="002A451D" w:rsidRPr="00F05EF7">
        <w:rPr>
          <w:rFonts w:ascii="Times New Roman" w:eastAsia="Times New Roman" w:hAnsi="Times New Roman" w:cs="Times New Roman"/>
        </w:rPr>
        <w:t xml:space="preserve">, </w:t>
      </w:r>
      <w:r w:rsidR="00890B18" w:rsidRPr="00F05EF7">
        <w:rPr>
          <w:rFonts w:ascii="Times New Roman" w:eastAsia="Times New Roman" w:hAnsi="Times New Roman" w:cs="Times New Roman"/>
        </w:rPr>
        <w:t>mostrando</w:t>
      </w:r>
      <w:r w:rsidR="002A451D" w:rsidRPr="00F05EF7">
        <w:rPr>
          <w:rFonts w:ascii="Times New Roman" w:eastAsia="Times New Roman" w:hAnsi="Times New Roman" w:cs="Times New Roman"/>
        </w:rPr>
        <w:t xml:space="preserve"> que os municípios utilizam os créditos adicionais de forma desmedida, para corrigir seus deficientes planeja</w:t>
      </w:r>
      <w:r>
        <w:rPr>
          <w:rFonts w:ascii="Times New Roman" w:eastAsia="Times New Roman" w:hAnsi="Times New Roman" w:cs="Times New Roman"/>
        </w:rPr>
        <w:t>mentos orçamentários.</w:t>
      </w:r>
    </w:p>
    <w:p w14:paraId="2D5CDD72" w14:textId="4B3CCEC0" w:rsidR="00C057A5"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b/>
        </w:rPr>
        <w:t>Palavras-chave:</w:t>
      </w:r>
      <w:r w:rsidRPr="00F05EF7">
        <w:rPr>
          <w:rFonts w:ascii="Times New Roman" w:eastAsia="Times New Roman" w:hAnsi="Times New Roman" w:cs="Times New Roman"/>
        </w:rPr>
        <w:t xml:space="preserve"> Orçamento público. </w:t>
      </w:r>
      <w:r w:rsidRPr="00957C2B">
        <w:rPr>
          <w:rFonts w:ascii="Times New Roman" w:eastAsia="Times New Roman" w:hAnsi="Times New Roman" w:cs="Times New Roman"/>
        </w:rPr>
        <w:t xml:space="preserve">Planejamento orçamentário. </w:t>
      </w:r>
      <w:proofErr w:type="spellStart"/>
      <w:r w:rsidRPr="00F05EF7">
        <w:rPr>
          <w:rFonts w:ascii="Times New Roman" w:eastAsia="Times New Roman" w:hAnsi="Times New Roman" w:cs="Times New Roman"/>
          <w:lang w:val="en-US"/>
        </w:rPr>
        <w:t>Créditos</w:t>
      </w:r>
      <w:proofErr w:type="spellEnd"/>
      <w:r w:rsidRPr="00F05EF7">
        <w:rPr>
          <w:rFonts w:ascii="Times New Roman" w:eastAsia="Times New Roman" w:hAnsi="Times New Roman" w:cs="Times New Roman"/>
          <w:lang w:val="en-US"/>
        </w:rPr>
        <w:t xml:space="preserve"> </w:t>
      </w:r>
      <w:proofErr w:type="spellStart"/>
      <w:r w:rsidRPr="00F05EF7">
        <w:rPr>
          <w:rFonts w:ascii="Times New Roman" w:eastAsia="Times New Roman" w:hAnsi="Times New Roman" w:cs="Times New Roman"/>
          <w:lang w:val="en-US"/>
        </w:rPr>
        <w:t>adicionais</w:t>
      </w:r>
      <w:proofErr w:type="spellEnd"/>
      <w:r w:rsidRPr="00F05EF7">
        <w:rPr>
          <w:rFonts w:ascii="Times New Roman" w:eastAsia="Times New Roman" w:hAnsi="Times New Roman" w:cs="Times New Roman"/>
          <w:lang w:val="en-US"/>
        </w:rPr>
        <w:t>.</w:t>
      </w:r>
    </w:p>
    <w:p w14:paraId="7244582B" w14:textId="77777777" w:rsidR="00C057A5" w:rsidRPr="00F05EF7" w:rsidRDefault="00C057A5" w:rsidP="00AD5592">
      <w:pPr>
        <w:widowControl w:val="0"/>
        <w:pBdr>
          <w:top w:val="nil"/>
          <w:left w:val="nil"/>
          <w:bottom w:val="nil"/>
          <w:right w:val="nil"/>
          <w:between w:val="nil"/>
        </w:pBdr>
        <w:rPr>
          <w:rFonts w:ascii="Times New Roman" w:eastAsia="Times New Roman" w:hAnsi="Times New Roman" w:cs="Times New Roman"/>
          <w:lang w:val="en-US"/>
        </w:rPr>
      </w:pPr>
    </w:p>
    <w:p w14:paraId="2CFF4936" w14:textId="77777777" w:rsidR="00C45057" w:rsidRPr="00F05EF7" w:rsidRDefault="00C057A5" w:rsidP="00AD5592">
      <w:pPr>
        <w:widowControl w:val="0"/>
        <w:pBdr>
          <w:top w:val="nil"/>
          <w:left w:val="nil"/>
          <w:bottom w:val="nil"/>
          <w:right w:val="nil"/>
          <w:between w:val="nil"/>
        </w:pBdr>
        <w:rPr>
          <w:rFonts w:ascii="Times New Roman" w:eastAsia="Times New Roman" w:hAnsi="Times New Roman" w:cs="Times New Roman"/>
          <w:b/>
          <w:lang w:val="en-US"/>
        </w:rPr>
      </w:pPr>
      <w:r w:rsidRPr="00F05EF7">
        <w:rPr>
          <w:rFonts w:ascii="Times New Roman" w:eastAsia="Times New Roman" w:hAnsi="Times New Roman" w:cs="Times New Roman"/>
          <w:b/>
          <w:lang w:val="en-US"/>
        </w:rPr>
        <w:t>ABSTRACT</w:t>
      </w:r>
    </w:p>
    <w:p w14:paraId="6428043C" w14:textId="0E0B2061" w:rsidR="00C45057" w:rsidRPr="00DD1166" w:rsidRDefault="003726A1" w:rsidP="00AD5592">
      <w:pPr>
        <w:widowControl w:val="0"/>
        <w:pBdr>
          <w:top w:val="nil"/>
          <w:left w:val="nil"/>
          <w:bottom w:val="nil"/>
          <w:right w:val="nil"/>
          <w:between w:val="nil"/>
        </w:pBdr>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00C45057" w:rsidRPr="00F05EF7">
        <w:rPr>
          <w:rFonts w:ascii="Times New Roman" w:eastAsia="Times New Roman" w:hAnsi="Times New Roman" w:cs="Times New Roman"/>
          <w:lang w:val="en-US"/>
        </w:rPr>
        <w:t>his study aimed to analyze whether the budget plans of the municipalities belonging to the</w:t>
      </w:r>
      <w:r w:rsidR="001C4655">
        <w:rPr>
          <w:rFonts w:ascii="Times New Roman" w:eastAsia="Times New Roman" w:hAnsi="Times New Roman" w:cs="Times New Roman"/>
          <w:lang w:val="en-US"/>
        </w:rPr>
        <w:t xml:space="preserve"> micro-region of </w:t>
      </w:r>
      <w:proofErr w:type="spellStart"/>
      <w:r w:rsidR="001C4655">
        <w:rPr>
          <w:rFonts w:ascii="Times New Roman" w:eastAsia="Times New Roman" w:hAnsi="Times New Roman" w:cs="Times New Roman"/>
          <w:lang w:val="en-US"/>
        </w:rPr>
        <w:t>Restinga</w:t>
      </w:r>
      <w:proofErr w:type="spellEnd"/>
      <w:r w:rsidR="001C4655">
        <w:rPr>
          <w:rFonts w:ascii="Times New Roman" w:eastAsia="Times New Roman" w:hAnsi="Times New Roman" w:cs="Times New Roman"/>
          <w:lang w:val="en-US"/>
        </w:rPr>
        <w:t xml:space="preserve"> </w:t>
      </w:r>
      <w:proofErr w:type="spellStart"/>
      <w:r w:rsidR="001C4655">
        <w:rPr>
          <w:rFonts w:ascii="Times New Roman" w:eastAsia="Times New Roman" w:hAnsi="Times New Roman" w:cs="Times New Roman"/>
          <w:lang w:val="en-US"/>
        </w:rPr>
        <w:t>Seca</w:t>
      </w:r>
      <w:proofErr w:type="spellEnd"/>
      <w:r w:rsidR="001C4655">
        <w:rPr>
          <w:rFonts w:ascii="Times New Roman" w:eastAsia="Times New Roman" w:hAnsi="Times New Roman" w:cs="Times New Roman"/>
          <w:lang w:val="en-US"/>
        </w:rPr>
        <w:t xml:space="preserve"> - RS are efficient</w:t>
      </w:r>
      <w:r w:rsidR="00C45057" w:rsidRPr="00F05EF7">
        <w:rPr>
          <w:rFonts w:ascii="Times New Roman" w:eastAsia="Times New Roman" w:hAnsi="Times New Roman" w:cs="Times New Roman"/>
          <w:lang w:val="en-US"/>
        </w:rPr>
        <w:t xml:space="preserve"> through the use of additional credits. The methodology adopted is of an applied nature, whose objectives are characterized as exploratory, based on a case study. The research, in general, took place through documentary analyzes. The survey results show that the municipalities studied are inefficient in their budgetary planning, given the high levels of inaccuracy that were found. Such indices reflect the amounts of additional credits opened in the financial years, making clear the inaccuracy in budgetary planning, when analyzing the changes between budgeted and executed, showing that municipalities use the additional credits in an excessive way, to correct thei</w:t>
      </w:r>
      <w:r>
        <w:rPr>
          <w:rFonts w:ascii="Times New Roman" w:eastAsia="Times New Roman" w:hAnsi="Times New Roman" w:cs="Times New Roman"/>
          <w:lang w:val="en-US"/>
        </w:rPr>
        <w:t>r deficient budgetary planning.</w:t>
      </w:r>
    </w:p>
    <w:p w14:paraId="2D9A69DA" w14:textId="659BCB3F" w:rsidR="00821527" w:rsidRDefault="0010504B" w:rsidP="00AD5592">
      <w:pPr>
        <w:widowControl w:val="0"/>
        <w:pBdr>
          <w:top w:val="nil"/>
          <w:left w:val="nil"/>
          <w:bottom w:val="nil"/>
          <w:right w:val="nil"/>
          <w:between w:val="nil"/>
        </w:pBdr>
        <w:rPr>
          <w:rFonts w:ascii="Times New Roman" w:eastAsia="Times New Roman" w:hAnsi="Times New Roman" w:cs="Times New Roman"/>
        </w:rPr>
      </w:pPr>
      <w:r w:rsidRPr="00F05EF7">
        <w:rPr>
          <w:rFonts w:ascii="Times New Roman" w:eastAsia="Times New Roman" w:hAnsi="Times New Roman" w:cs="Times New Roman"/>
          <w:b/>
          <w:lang w:val="en-US"/>
        </w:rPr>
        <w:t>Keywords:</w:t>
      </w:r>
      <w:r w:rsidRPr="00F05EF7">
        <w:rPr>
          <w:rFonts w:ascii="Times New Roman" w:eastAsia="Times New Roman" w:hAnsi="Times New Roman" w:cs="Times New Roman"/>
          <w:lang w:val="en-US"/>
        </w:rPr>
        <w:t xml:space="preserve"> Public budget. Budget planning. </w:t>
      </w:r>
      <w:proofErr w:type="spellStart"/>
      <w:r w:rsidRPr="00F05EF7">
        <w:rPr>
          <w:rFonts w:ascii="Times New Roman" w:eastAsia="Times New Roman" w:hAnsi="Times New Roman" w:cs="Times New Roman"/>
        </w:rPr>
        <w:t>Additional</w:t>
      </w:r>
      <w:proofErr w:type="spellEnd"/>
      <w:r w:rsidRPr="00F05EF7">
        <w:rPr>
          <w:rFonts w:ascii="Times New Roman" w:eastAsia="Times New Roman" w:hAnsi="Times New Roman" w:cs="Times New Roman"/>
        </w:rPr>
        <w:t xml:space="preserve"> </w:t>
      </w:r>
      <w:proofErr w:type="spellStart"/>
      <w:r w:rsidRPr="00F05EF7">
        <w:rPr>
          <w:rFonts w:ascii="Times New Roman" w:eastAsia="Times New Roman" w:hAnsi="Times New Roman" w:cs="Times New Roman"/>
        </w:rPr>
        <w:t>credits</w:t>
      </w:r>
      <w:proofErr w:type="spellEnd"/>
      <w:r w:rsidRPr="00F05EF7">
        <w:rPr>
          <w:rFonts w:ascii="Times New Roman" w:eastAsia="Times New Roman" w:hAnsi="Times New Roman" w:cs="Times New Roman"/>
        </w:rPr>
        <w:t>.</w:t>
      </w:r>
    </w:p>
    <w:p w14:paraId="24D12108" w14:textId="05ECEE07" w:rsidR="00FC4D7B" w:rsidRDefault="00FC4D7B" w:rsidP="00AD5592">
      <w:pPr>
        <w:widowControl w:val="0"/>
        <w:pBdr>
          <w:top w:val="nil"/>
          <w:left w:val="nil"/>
          <w:bottom w:val="nil"/>
          <w:right w:val="nil"/>
          <w:between w:val="nil"/>
        </w:pBdr>
        <w:rPr>
          <w:rFonts w:ascii="Times New Roman" w:eastAsia="Times New Roman" w:hAnsi="Times New Roman" w:cs="Times New Roman"/>
        </w:rPr>
      </w:pPr>
    </w:p>
    <w:p w14:paraId="3981B757" w14:textId="77777777" w:rsidR="00FC4D7B" w:rsidRPr="00FC4D7B" w:rsidRDefault="00FC4D7B" w:rsidP="00DD1166">
      <w:pPr>
        <w:widowControl w:val="0"/>
        <w:pBdr>
          <w:top w:val="nil"/>
          <w:left w:val="nil"/>
          <w:bottom w:val="nil"/>
          <w:right w:val="nil"/>
          <w:between w:val="nil"/>
        </w:pBdr>
        <w:jc w:val="both"/>
        <w:rPr>
          <w:rFonts w:ascii="Times New Roman" w:eastAsia="Times New Roman" w:hAnsi="Times New Roman" w:cs="Times New Roman"/>
          <w:b/>
        </w:rPr>
      </w:pPr>
      <w:r w:rsidRPr="00FC4D7B">
        <w:rPr>
          <w:rFonts w:ascii="Times New Roman" w:eastAsia="Times New Roman" w:hAnsi="Times New Roman" w:cs="Times New Roman"/>
          <w:b/>
        </w:rPr>
        <w:t>RESUMEN</w:t>
      </w:r>
    </w:p>
    <w:p w14:paraId="3F562B25" w14:textId="5BE5D72B" w:rsidR="00FC4D7B" w:rsidRPr="00FC4D7B" w:rsidRDefault="00FC4D7B" w:rsidP="00DD1166">
      <w:pPr>
        <w:widowControl w:val="0"/>
        <w:pBdr>
          <w:top w:val="nil"/>
          <w:left w:val="nil"/>
          <w:bottom w:val="nil"/>
          <w:right w:val="nil"/>
          <w:between w:val="nil"/>
        </w:pBdr>
        <w:jc w:val="both"/>
        <w:rPr>
          <w:rFonts w:ascii="Times New Roman" w:eastAsia="Times New Roman" w:hAnsi="Times New Roman" w:cs="Times New Roman"/>
        </w:rPr>
      </w:pPr>
      <w:r w:rsidRPr="00FC4D7B">
        <w:rPr>
          <w:rFonts w:ascii="Times New Roman" w:eastAsia="Times New Roman" w:hAnsi="Times New Roman" w:cs="Times New Roman"/>
        </w:rPr>
        <w:t xml:space="preserve">El objetivo de este </w:t>
      </w:r>
      <w:proofErr w:type="spellStart"/>
      <w:r w:rsidRPr="00FC4D7B">
        <w:rPr>
          <w:rFonts w:ascii="Times New Roman" w:eastAsia="Times New Roman" w:hAnsi="Times New Roman" w:cs="Times New Roman"/>
        </w:rPr>
        <w:t>estudio</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fue</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analizar</w:t>
      </w:r>
      <w:proofErr w:type="spellEnd"/>
      <w:r w:rsidRPr="00FC4D7B">
        <w:rPr>
          <w:rFonts w:ascii="Times New Roman" w:eastAsia="Times New Roman" w:hAnsi="Times New Roman" w:cs="Times New Roman"/>
        </w:rPr>
        <w:t xml:space="preserve"> si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planes </w:t>
      </w:r>
      <w:proofErr w:type="spellStart"/>
      <w:r w:rsidRPr="00FC4D7B">
        <w:rPr>
          <w:rFonts w:ascii="Times New Roman" w:eastAsia="Times New Roman" w:hAnsi="Times New Roman" w:cs="Times New Roman"/>
        </w:rPr>
        <w:t>presupuestarios</w:t>
      </w:r>
      <w:proofErr w:type="spellEnd"/>
      <w:r w:rsidRPr="00FC4D7B">
        <w:rPr>
          <w:rFonts w:ascii="Times New Roman" w:eastAsia="Times New Roman" w:hAnsi="Times New Roman" w:cs="Times New Roman"/>
        </w:rPr>
        <w:t xml:space="preserve"> de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municipios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pertenecientes</w:t>
      </w:r>
      <w:proofErr w:type="spellEnd"/>
      <w:r w:rsidRPr="00FC4D7B">
        <w:rPr>
          <w:rFonts w:ascii="Times New Roman" w:eastAsia="Times New Roman" w:hAnsi="Times New Roman" w:cs="Times New Roman"/>
        </w:rPr>
        <w:t xml:space="preserve"> a </w:t>
      </w:r>
      <w:proofErr w:type="spellStart"/>
      <w:r w:rsidRPr="00FC4D7B">
        <w:rPr>
          <w:rFonts w:ascii="Times New Roman" w:eastAsia="Times New Roman" w:hAnsi="Times New Roman" w:cs="Times New Roman"/>
        </w:rPr>
        <w:t>la</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microrregión</w:t>
      </w:r>
      <w:proofErr w:type="spellEnd"/>
      <w:r w:rsidRPr="00FC4D7B">
        <w:rPr>
          <w:rFonts w:ascii="Times New Roman" w:eastAsia="Times New Roman" w:hAnsi="Times New Roman" w:cs="Times New Roman"/>
        </w:rPr>
        <w:t xml:space="preserve"> de Restinga Seca - RS </w:t>
      </w:r>
      <w:proofErr w:type="spellStart"/>
      <w:r w:rsidRPr="00FC4D7B">
        <w:rPr>
          <w:rFonts w:ascii="Times New Roman" w:eastAsia="Times New Roman" w:hAnsi="Times New Roman" w:cs="Times New Roman"/>
        </w:rPr>
        <w:t>son</w:t>
      </w:r>
      <w:proofErr w:type="spellEnd"/>
      <w:r w:rsidRPr="00FC4D7B">
        <w:rPr>
          <w:rFonts w:ascii="Times New Roman" w:eastAsia="Times New Roman" w:hAnsi="Times New Roman" w:cs="Times New Roman"/>
        </w:rPr>
        <w:t xml:space="preserve"> eficientes mediante </w:t>
      </w:r>
      <w:proofErr w:type="spellStart"/>
      <w:r w:rsidRPr="00FC4D7B">
        <w:rPr>
          <w:rFonts w:ascii="Times New Roman" w:eastAsia="Times New Roman" w:hAnsi="Times New Roman" w:cs="Times New Roman"/>
        </w:rPr>
        <w:t>el</w:t>
      </w:r>
      <w:proofErr w:type="spellEnd"/>
      <w:r w:rsidRPr="00FC4D7B">
        <w:rPr>
          <w:rFonts w:ascii="Times New Roman" w:eastAsia="Times New Roman" w:hAnsi="Times New Roman" w:cs="Times New Roman"/>
        </w:rPr>
        <w:t xml:space="preserve"> uso de créditos </w:t>
      </w:r>
      <w:proofErr w:type="spellStart"/>
      <w:r w:rsidRPr="00FC4D7B">
        <w:rPr>
          <w:rFonts w:ascii="Times New Roman" w:eastAsia="Times New Roman" w:hAnsi="Times New Roman" w:cs="Times New Roman"/>
        </w:rPr>
        <w:t>adicionales</w:t>
      </w:r>
      <w:proofErr w:type="spellEnd"/>
      <w:r w:rsidRPr="00FC4D7B">
        <w:rPr>
          <w:rFonts w:ascii="Times New Roman" w:eastAsia="Times New Roman" w:hAnsi="Times New Roman" w:cs="Times New Roman"/>
        </w:rPr>
        <w:t xml:space="preserve">. La </w:t>
      </w:r>
      <w:proofErr w:type="spellStart"/>
      <w:r w:rsidRPr="00FC4D7B">
        <w:rPr>
          <w:rFonts w:ascii="Times New Roman" w:eastAsia="Times New Roman" w:hAnsi="Times New Roman" w:cs="Times New Roman"/>
        </w:rPr>
        <w:t>metodología</w:t>
      </w:r>
      <w:proofErr w:type="spellEnd"/>
      <w:r w:rsidRPr="00FC4D7B">
        <w:rPr>
          <w:rFonts w:ascii="Times New Roman" w:eastAsia="Times New Roman" w:hAnsi="Times New Roman" w:cs="Times New Roman"/>
        </w:rPr>
        <w:t xml:space="preserve"> adoptada es de </w:t>
      </w:r>
      <w:proofErr w:type="spellStart"/>
      <w:r w:rsidRPr="00FC4D7B">
        <w:rPr>
          <w:rFonts w:ascii="Times New Roman" w:eastAsia="Times New Roman" w:hAnsi="Times New Roman" w:cs="Times New Roman"/>
        </w:rPr>
        <w:t>naturaleza</w:t>
      </w:r>
      <w:proofErr w:type="spellEnd"/>
      <w:r w:rsidRPr="00FC4D7B">
        <w:rPr>
          <w:rFonts w:ascii="Times New Roman" w:eastAsia="Times New Roman" w:hAnsi="Times New Roman" w:cs="Times New Roman"/>
        </w:rPr>
        <w:t xml:space="preserve"> aplicada, </w:t>
      </w:r>
      <w:proofErr w:type="spellStart"/>
      <w:r w:rsidRPr="00FC4D7B">
        <w:rPr>
          <w:rFonts w:ascii="Times New Roman" w:eastAsia="Times New Roman" w:hAnsi="Times New Roman" w:cs="Times New Roman"/>
        </w:rPr>
        <w:t>cuyos</w:t>
      </w:r>
      <w:proofErr w:type="spellEnd"/>
      <w:r w:rsidRPr="00FC4D7B">
        <w:rPr>
          <w:rFonts w:ascii="Times New Roman" w:eastAsia="Times New Roman" w:hAnsi="Times New Roman" w:cs="Times New Roman"/>
        </w:rPr>
        <w:t xml:space="preserve"> objetivos se </w:t>
      </w:r>
      <w:proofErr w:type="spellStart"/>
      <w:r w:rsidRPr="00FC4D7B">
        <w:rPr>
          <w:rFonts w:ascii="Times New Roman" w:eastAsia="Times New Roman" w:hAnsi="Times New Roman" w:cs="Times New Roman"/>
        </w:rPr>
        <w:t>caracterizan</w:t>
      </w:r>
      <w:proofErr w:type="spellEnd"/>
      <w:r w:rsidRPr="00FC4D7B">
        <w:rPr>
          <w:rFonts w:ascii="Times New Roman" w:eastAsia="Times New Roman" w:hAnsi="Times New Roman" w:cs="Times New Roman"/>
        </w:rPr>
        <w:t xml:space="preserve"> por ser </w:t>
      </w:r>
      <w:proofErr w:type="spellStart"/>
      <w:r w:rsidRPr="00FC4D7B">
        <w:rPr>
          <w:rFonts w:ascii="Times New Roman" w:eastAsia="Times New Roman" w:hAnsi="Times New Roman" w:cs="Times New Roman"/>
        </w:rPr>
        <w:t>exploratorios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basados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un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estudio</w:t>
      </w:r>
      <w:proofErr w:type="spellEnd"/>
      <w:r w:rsidRPr="00FC4D7B">
        <w:rPr>
          <w:rFonts w:ascii="Times New Roman" w:eastAsia="Times New Roman" w:hAnsi="Times New Roman" w:cs="Times New Roman"/>
        </w:rPr>
        <w:t xml:space="preserve"> de caso. La </w:t>
      </w:r>
      <w:proofErr w:type="spellStart"/>
      <w:r w:rsidRPr="00FC4D7B">
        <w:rPr>
          <w:rFonts w:ascii="Times New Roman" w:eastAsia="Times New Roman" w:hAnsi="Times New Roman" w:cs="Times New Roman"/>
        </w:rPr>
        <w:t>investigación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en</w:t>
      </w:r>
      <w:proofErr w:type="spellEnd"/>
      <w:r w:rsidRPr="00FC4D7B">
        <w:rPr>
          <w:rFonts w:ascii="Times New Roman" w:eastAsia="Times New Roman" w:hAnsi="Times New Roman" w:cs="Times New Roman"/>
        </w:rPr>
        <w:t xml:space="preserve"> general, se </w:t>
      </w:r>
      <w:proofErr w:type="spellStart"/>
      <w:r w:rsidRPr="00FC4D7B">
        <w:rPr>
          <w:rFonts w:ascii="Times New Roman" w:eastAsia="Times New Roman" w:hAnsi="Times New Roman" w:cs="Times New Roman"/>
        </w:rPr>
        <w:t>realizó</w:t>
      </w:r>
      <w:proofErr w:type="spellEnd"/>
      <w:r w:rsidRPr="00FC4D7B">
        <w:rPr>
          <w:rFonts w:ascii="Times New Roman" w:eastAsia="Times New Roman" w:hAnsi="Times New Roman" w:cs="Times New Roman"/>
        </w:rPr>
        <w:t xml:space="preserve"> a través de </w:t>
      </w:r>
      <w:proofErr w:type="spellStart"/>
      <w:r w:rsidRPr="00FC4D7B">
        <w:rPr>
          <w:rFonts w:ascii="Times New Roman" w:eastAsia="Times New Roman" w:hAnsi="Times New Roman" w:cs="Times New Roman"/>
        </w:rPr>
        <w:t>análisis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documentales</w:t>
      </w:r>
      <w:proofErr w:type="spellEnd"/>
      <w:r w:rsidRPr="00FC4D7B">
        <w:rPr>
          <w:rFonts w:ascii="Times New Roman" w:eastAsia="Times New Roman" w:hAnsi="Times New Roman" w:cs="Times New Roman"/>
        </w:rPr>
        <w:t xml:space="preserve">. Los resultados de </w:t>
      </w:r>
      <w:proofErr w:type="spellStart"/>
      <w:r w:rsidRPr="00FC4D7B">
        <w:rPr>
          <w:rFonts w:ascii="Times New Roman" w:eastAsia="Times New Roman" w:hAnsi="Times New Roman" w:cs="Times New Roman"/>
        </w:rPr>
        <w:t>la</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encuesta</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muestran</w:t>
      </w:r>
      <w:proofErr w:type="spellEnd"/>
      <w:r w:rsidRPr="00FC4D7B">
        <w:rPr>
          <w:rFonts w:ascii="Times New Roman" w:eastAsia="Times New Roman" w:hAnsi="Times New Roman" w:cs="Times New Roman"/>
        </w:rPr>
        <w:t xml:space="preserve"> que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municipios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estudiados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son</w:t>
      </w:r>
      <w:proofErr w:type="spellEnd"/>
      <w:r w:rsidRPr="00FC4D7B">
        <w:rPr>
          <w:rFonts w:ascii="Times New Roman" w:eastAsia="Times New Roman" w:hAnsi="Times New Roman" w:cs="Times New Roman"/>
        </w:rPr>
        <w:t xml:space="preserve"> ineficientes </w:t>
      </w:r>
      <w:proofErr w:type="spellStart"/>
      <w:r w:rsidRPr="00FC4D7B">
        <w:rPr>
          <w:rFonts w:ascii="Times New Roman" w:eastAsia="Times New Roman" w:hAnsi="Times New Roman" w:cs="Times New Roman"/>
        </w:rPr>
        <w:t>en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su</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planificación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presupuestaria</w:t>
      </w:r>
      <w:proofErr w:type="spellEnd"/>
      <w:r w:rsidRPr="00FC4D7B">
        <w:rPr>
          <w:rFonts w:ascii="Times New Roman" w:eastAsia="Times New Roman" w:hAnsi="Times New Roman" w:cs="Times New Roman"/>
        </w:rPr>
        <w:t xml:space="preserve">, dados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altos niveles de </w:t>
      </w:r>
      <w:proofErr w:type="spellStart"/>
      <w:r w:rsidRPr="00FC4D7B">
        <w:rPr>
          <w:rFonts w:ascii="Times New Roman" w:eastAsia="Times New Roman" w:hAnsi="Times New Roman" w:cs="Times New Roman"/>
        </w:rPr>
        <w:t>inexactitud</w:t>
      </w:r>
      <w:proofErr w:type="spellEnd"/>
      <w:r w:rsidRPr="00FC4D7B">
        <w:rPr>
          <w:rFonts w:ascii="Times New Roman" w:eastAsia="Times New Roman" w:hAnsi="Times New Roman" w:cs="Times New Roman"/>
        </w:rPr>
        <w:t xml:space="preserve"> que se </w:t>
      </w:r>
      <w:proofErr w:type="spellStart"/>
      <w:r w:rsidRPr="00FC4D7B">
        <w:rPr>
          <w:rFonts w:ascii="Times New Roman" w:eastAsia="Times New Roman" w:hAnsi="Times New Roman" w:cs="Times New Roman"/>
        </w:rPr>
        <w:t>encontraron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Dichos</w:t>
      </w:r>
      <w:proofErr w:type="spellEnd"/>
      <w:r w:rsidRPr="00FC4D7B">
        <w:rPr>
          <w:rFonts w:ascii="Times New Roman" w:eastAsia="Times New Roman" w:hAnsi="Times New Roman" w:cs="Times New Roman"/>
        </w:rPr>
        <w:t xml:space="preserve"> índices </w:t>
      </w:r>
      <w:proofErr w:type="spellStart"/>
      <w:r w:rsidRPr="00FC4D7B">
        <w:rPr>
          <w:rFonts w:ascii="Times New Roman" w:eastAsia="Times New Roman" w:hAnsi="Times New Roman" w:cs="Times New Roman"/>
        </w:rPr>
        <w:t>reflejan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montos</w:t>
      </w:r>
      <w:proofErr w:type="spellEnd"/>
      <w:r w:rsidRPr="00FC4D7B">
        <w:rPr>
          <w:rFonts w:ascii="Times New Roman" w:eastAsia="Times New Roman" w:hAnsi="Times New Roman" w:cs="Times New Roman"/>
        </w:rPr>
        <w:t xml:space="preserve"> de créditos </w:t>
      </w:r>
      <w:proofErr w:type="spellStart"/>
      <w:r w:rsidRPr="00FC4D7B">
        <w:rPr>
          <w:rFonts w:ascii="Times New Roman" w:eastAsia="Times New Roman" w:hAnsi="Times New Roman" w:cs="Times New Roman"/>
        </w:rPr>
        <w:t>adicionales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abiertos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años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financieros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dejando</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en</w:t>
      </w:r>
      <w:proofErr w:type="spellEnd"/>
      <w:r w:rsidRPr="00FC4D7B">
        <w:rPr>
          <w:rFonts w:ascii="Times New Roman" w:eastAsia="Times New Roman" w:hAnsi="Times New Roman" w:cs="Times New Roman"/>
        </w:rPr>
        <w:t xml:space="preserve"> claro </w:t>
      </w:r>
      <w:proofErr w:type="spellStart"/>
      <w:r w:rsidRPr="00FC4D7B">
        <w:rPr>
          <w:rFonts w:ascii="Times New Roman" w:eastAsia="Times New Roman" w:hAnsi="Times New Roman" w:cs="Times New Roman"/>
        </w:rPr>
        <w:t>la</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inexactitud</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la</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planificación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presupuestaria</w:t>
      </w:r>
      <w:proofErr w:type="spellEnd"/>
      <w:r w:rsidRPr="00FC4D7B">
        <w:rPr>
          <w:rFonts w:ascii="Times New Roman" w:eastAsia="Times New Roman" w:hAnsi="Times New Roman" w:cs="Times New Roman"/>
        </w:rPr>
        <w:t xml:space="preserve">, al </w:t>
      </w:r>
      <w:proofErr w:type="spellStart"/>
      <w:r w:rsidRPr="00FC4D7B">
        <w:rPr>
          <w:rFonts w:ascii="Times New Roman" w:eastAsia="Times New Roman" w:hAnsi="Times New Roman" w:cs="Times New Roman"/>
        </w:rPr>
        <w:t>analizar</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cambios</w:t>
      </w:r>
      <w:proofErr w:type="spellEnd"/>
      <w:r w:rsidRPr="00FC4D7B">
        <w:rPr>
          <w:rFonts w:ascii="Times New Roman" w:eastAsia="Times New Roman" w:hAnsi="Times New Roman" w:cs="Times New Roman"/>
        </w:rPr>
        <w:t xml:space="preserve"> entre </w:t>
      </w:r>
      <w:proofErr w:type="spellStart"/>
      <w:r w:rsidRPr="00FC4D7B">
        <w:rPr>
          <w:rFonts w:ascii="Times New Roman" w:eastAsia="Times New Roman" w:hAnsi="Times New Roman" w:cs="Times New Roman"/>
        </w:rPr>
        <w:t>presupuestados</w:t>
      </w:r>
      <w:proofErr w:type="spellEnd"/>
      <w:r w:rsidRPr="00FC4D7B">
        <w:rPr>
          <w:rFonts w:ascii="Times New Roman" w:eastAsia="Times New Roman" w:hAnsi="Times New Roman" w:cs="Times New Roman"/>
        </w:rPr>
        <w:t xml:space="preserve"> y </w:t>
      </w:r>
      <w:proofErr w:type="spellStart"/>
      <w:r w:rsidRPr="00FC4D7B">
        <w:rPr>
          <w:rFonts w:ascii="Times New Roman" w:eastAsia="Times New Roman" w:hAnsi="Times New Roman" w:cs="Times New Roman"/>
        </w:rPr>
        <w:t>ejecutados</w:t>
      </w:r>
      <w:proofErr w:type="spellEnd"/>
      <w:r w:rsidRPr="00FC4D7B">
        <w:rPr>
          <w:rFonts w:ascii="Times New Roman" w:eastAsia="Times New Roman" w:hAnsi="Times New Roman" w:cs="Times New Roman"/>
        </w:rPr>
        <w:t xml:space="preserve">, mostrando que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municipios</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usan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los</w:t>
      </w:r>
      <w:proofErr w:type="spellEnd"/>
      <w:r w:rsidRPr="00FC4D7B">
        <w:rPr>
          <w:rFonts w:ascii="Times New Roman" w:eastAsia="Times New Roman" w:hAnsi="Times New Roman" w:cs="Times New Roman"/>
        </w:rPr>
        <w:t xml:space="preserve"> créditos </w:t>
      </w:r>
      <w:proofErr w:type="spellStart"/>
      <w:r w:rsidRPr="00FC4D7B">
        <w:rPr>
          <w:rFonts w:ascii="Times New Roman" w:eastAsia="Times New Roman" w:hAnsi="Times New Roman" w:cs="Times New Roman"/>
        </w:rPr>
        <w:t>adicionales</w:t>
      </w:r>
      <w:proofErr w:type="spellEnd"/>
      <w:r w:rsidRPr="00FC4D7B">
        <w:rPr>
          <w:rFonts w:ascii="Times New Roman" w:eastAsia="Times New Roman" w:hAnsi="Times New Roman" w:cs="Times New Roman"/>
        </w:rPr>
        <w:t xml:space="preserve"> de </w:t>
      </w:r>
      <w:proofErr w:type="spellStart"/>
      <w:r w:rsidRPr="00FC4D7B">
        <w:rPr>
          <w:rFonts w:ascii="Times New Roman" w:eastAsia="Times New Roman" w:hAnsi="Times New Roman" w:cs="Times New Roman"/>
        </w:rPr>
        <w:t>manera</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excesiva</w:t>
      </w:r>
      <w:proofErr w:type="spellEnd"/>
      <w:r w:rsidRPr="00FC4D7B">
        <w:rPr>
          <w:rFonts w:ascii="Times New Roman" w:eastAsia="Times New Roman" w:hAnsi="Times New Roman" w:cs="Times New Roman"/>
        </w:rPr>
        <w:t xml:space="preserve"> para </w:t>
      </w:r>
      <w:proofErr w:type="spellStart"/>
      <w:r w:rsidRPr="00FC4D7B">
        <w:rPr>
          <w:rFonts w:ascii="Times New Roman" w:eastAsia="Times New Roman" w:hAnsi="Times New Roman" w:cs="Times New Roman"/>
        </w:rPr>
        <w:t>corregir</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su</w:t>
      </w:r>
      <w:proofErr w:type="spellEnd"/>
      <w:r w:rsidRPr="00FC4D7B">
        <w:rPr>
          <w:rFonts w:ascii="Times New Roman" w:eastAsia="Times New Roman" w:hAnsi="Times New Roman" w:cs="Times New Roman"/>
        </w:rPr>
        <w:t xml:space="preserve"> deficiente </w:t>
      </w:r>
      <w:proofErr w:type="spellStart"/>
      <w:r w:rsidRPr="00FC4D7B">
        <w:rPr>
          <w:rFonts w:ascii="Times New Roman" w:eastAsia="Times New Roman" w:hAnsi="Times New Roman" w:cs="Times New Roman"/>
        </w:rPr>
        <w:t>planificación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presupuestaria</w:t>
      </w:r>
      <w:proofErr w:type="spellEnd"/>
      <w:r w:rsidRPr="00FC4D7B">
        <w:rPr>
          <w:rFonts w:ascii="Times New Roman" w:eastAsia="Times New Roman" w:hAnsi="Times New Roman" w:cs="Times New Roman"/>
        </w:rPr>
        <w:t>.</w:t>
      </w:r>
    </w:p>
    <w:p w14:paraId="6D7425E8" w14:textId="67C212BD" w:rsidR="00FC4D7B" w:rsidRDefault="00FC4D7B" w:rsidP="00DD1166">
      <w:pPr>
        <w:widowControl w:val="0"/>
        <w:pBdr>
          <w:top w:val="nil"/>
          <w:left w:val="nil"/>
          <w:bottom w:val="nil"/>
          <w:right w:val="nil"/>
          <w:between w:val="nil"/>
        </w:pBdr>
        <w:jc w:val="both"/>
        <w:rPr>
          <w:rFonts w:ascii="Times New Roman" w:eastAsia="Times New Roman" w:hAnsi="Times New Roman" w:cs="Times New Roman"/>
        </w:rPr>
      </w:pPr>
      <w:proofErr w:type="spellStart"/>
      <w:r w:rsidRPr="00FC4D7B">
        <w:rPr>
          <w:rFonts w:ascii="Times New Roman" w:eastAsia="Times New Roman" w:hAnsi="Times New Roman" w:cs="Times New Roman"/>
          <w:b/>
        </w:rPr>
        <w:t>Palabras</w:t>
      </w:r>
      <w:proofErr w:type="spellEnd"/>
      <w:r w:rsidRPr="00FC4D7B">
        <w:rPr>
          <w:rFonts w:ascii="Times New Roman" w:eastAsia="Times New Roman" w:hAnsi="Times New Roman" w:cs="Times New Roman"/>
          <w:b/>
        </w:rPr>
        <w:t xml:space="preserve"> clave</w:t>
      </w:r>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Presupuesto</w:t>
      </w:r>
      <w:proofErr w:type="spellEnd"/>
      <w:r w:rsidRPr="00FC4D7B">
        <w:rPr>
          <w:rFonts w:ascii="Times New Roman" w:eastAsia="Times New Roman" w:hAnsi="Times New Roman" w:cs="Times New Roman"/>
        </w:rPr>
        <w:t xml:space="preserve"> público. </w:t>
      </w:r>
      <w:proofErr w:type="spellStart"/>
      <w:r w:rsidRPr="00FC4D7B">
        <w:rPr>
          <w:rFonts w:ascii="Times New Roman" w:eastAsia="Times New Roman" w:hAnsi="Times New Roman" w:cs="Times New Roman"/>
        </w:rPr>
        <w:t>Planificación</w:t>
      </w:r>
      <w:proofErr w:type="spellEnd"/>
      <w:r w:rsidRPr="00FC4D7B">
        <w:rPr>
          <w:rFonts w:ascii="Times New Roman" w:eastAsia="Times New Roman" w:hAnsi="Times New Roman" w:cs="Times New Roman"/>
        </w:rPr>
        <w:t xml:space="preserve"> </w:t>
      </w:r>
      <w:proofErr w:type="spellStart"/>
      <w:r w:rsidRPr="00FC4D7B">
        <w:rPr>
          <w:rFonts w:ascii="Times New Roman" w:eastAsia="Times New Roman" w:hAnsi="Times New Roman" w:cs="Times New Roman"/>
        </w:rPr>
        <w:t>presupuestaria</w:t>
      </w:r>
      <w:proofErr w:type="spellEnd"/>
      <w:r w:rsidRPr="00FC4D7B">
        <w:rPr>
          <w:rFonts w:ascii="Times New Roman" w:eastAsia="Times New Roman" w:hAnsi="Times New Roman" w:cs="Times New Roman"/>
        </w:rPr>
        <w:t xml:space="preserve">. Créditos </w:t>
      </w:r>
      <w:proofErr w:type="spellStart"/>
      <w:r w:rsidRPr="00FC4D7B">
        <w:rPr>
          <w:rFonts w:ascii="Times New Roman" w:eastAsia="Times New Roman" w:hAnsi="Times New Roman" w:cs="Times New Roman"/>
        </w:rPr>
        <w:t>adicionales</w:t>
      </w:r>
      <w:proofErr w:type="spellEnd"/>
    </w:p>
    <w:p w14:paraId="17E9ADF6" w14:textId="1B55D6DF" w:rsidR="003726A1" w:rsidRDefault="003726A1" w:rsidP="00AD5592">
      <w:pPr>
        <w:widowControl w:val="0"/>
        <w:pBdr>
          <w:top w:val="nil"/>
          <w:left w:val="nil"/>
          <w:bottom w:val="nil"/>
          <w:right w:val="nil"/>
          <w:between w:val="nil"/>
        </w:pBdr>
        <w:rPr>
          <w:rFonts w:ascii="Times New Roman" w:eastAsia="Times New Roman" w:hAnsi="Times New Roman" w:cs="Times New Roman"/>
        </w:rPr>
      </w:pPr>
    </w:p>
    <w:p w14:paraId="4720E64E" w14:textId="77777777" w:rsidR="00FC4D7B" w:rsidRPr="00AD5592" w:rsidRDefault="00FC4D7B" w:rsidP="00AD5592">
      <w:pPr>
        <w:widowControl w:val="0"/>
        <w:pBdr>
          <w:top w:val="nil"/>
          <w:left w:val="nil"/>
          <w:bottom w:val="nil"/>
          <w:right w:val="nil"/>
          <w:between w:val="nil"/>
        </w:pBdr>
        <w:rPr>
          <w:rFonts w:ascii="Times New Roman" w:eastAsia="Times New Roman" w:hAnsi="Times New Roman" w:cs="Times New Roman"/>
        </w:rPr>
      </w:pPr>
    </w:p>
    <w:p w14:paraId="6BE9D5DB" w14:textId="32450AA9" w:rsidR="00821527" w:rsidRDefault="0010504B" w:rsidP="00AD5592">
      <w:pPr>
        <w:pStyle w:val="Ttulo1"/>
        <w:rPr>
          <w:rFonts w:ascii="Times New Roman" w:eastAsia="Times New Roman" w:hAnsi="Times New Roman" w:cs="Times New Roman"/>
        </w:rPr>
      </w:pPr>
      <w:bookmarkStart w:id="0" w:name="_Toc17376016"/>
      <w:r w:rsidRPr="00F05EF7">
        <w:rPr>
          <w:rFonts w:ascii="Times New Roman" w:eastAsia="Times New Roman" w:hAnsi="Times New Roman" w:cs="Times New Roman"/>
        </w:rPr>
        <w:t>1 INTRODUÇÃO</w:t>
      </w:r>
      <w:bookmarkEnd w:id="0"/>
    </w:p>
    <w:p w14:paraId="1DB6D442" w14:textId="77777777" w:rsidR="00B46652" w:rsidRPr="00B46652" w:rsidRDefault="00B46652" w:rsidP="00AD5592"/>
    <w:p w14:paraId="05998E7B" w14:textId="77777777" w:rsidR="00AC4D11" w:rsidRPr="00BC2500" w:rsidRDefault="00AC4D11" w:rsidP="00AC4D11">
      <w:pPr>
        <w:keepNext/>
        <w:framePr w:dropCap="drop" w:lines="3" w:wrap="around" w:vAnchor="text" w:hAnchor="text" w:y="1"/>
        <w:spacing w:line="827" w:lineRule="exact"/>
        <w:ind w:firstLine="709"/>
        <w:jc w:val="both"/>
        <w:textAlignment w:val="baseline"/>
        <w:rPr>
          <w:rFonts w:ascii="Times New Roman" w:eastAsia="Times New Roman" w:hAnsi="Times New Roman" w:cs="Times New Roman"/>
          <w:position w:val="-11"/>
          <w:sz w:val="109"/>
        </w:rPr>
      </w:pPr>
      <w:r w:rsidRPr="00BC2500">
        <w:rPr>
          <w:rFonts w:ascii="Times New Roman" w:eastAsia="Times New Roman" w:hAnsi="Times New Roman" w:cs="Times New Roman"/>
          <w:position w:val="-11"/>
          <w:sz w:val="109"/>
        </w:rPr>
        <w:t>A</w:t>
      </w:r>
    </w:p>
    <w:p w14:paraId="354845E0" w14:textId="02B3B5D1"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s organizações, sejam elas públicas ou privadas, são sistemas que operam em condições de turbulência, risco e incerteza (CARAYANNIS et al, 2014). Para </w:t>
      </w:r>
      <w:proofErr w:type="spellStart"/>
      <w:r w:rsidRPr="00F05EF7">
        <w:rPr>
          <w:rFonts w:ascii="Times New Roman" w:eastAsia="Times New Roman" w:hAnsi="Times New Roman" w:cs="Times New Roman"/>
        </w:rPr>
        <w:t>Fuerlinger</w:t>
      </w:r>
      <w:proofErr w:type="spellEnd"/>
      <w:r w:rsidRPr="00F05EF7">
        <w:rPr>
          <w:rFonts w:ascii="Times New Roman" w:eastAsia="Times New Roman" w:hAnsi="Times New Roman" w:cs="Times New Roman"/>
        </w:rPr>
        <w:t xml:space="preserve">, </w:t>
      </w:r>
      <w:proofErr w:type="spellStart"/>
      <w:r w:rsidRPr="00F05EF7">
        <w:rPr>
          <w:rFonts w:ascii="Times New Roman" w:eastAsia="Times New Roman" w:hAnsi="Times New Roman" w:cs="Times New Roman"/>
        </w:rPr>
        <w:t>Fandl</w:t>
      </w:r>
      <w:proofErr w:type="spellEnd"/>
      <w:r w:rsidRPr="00F05EF7">
        <w:rPr>
          <w:rFonts w:ascii="Times New Roman" w:eastAsia="Times New Roman" w:hAnsi="Times New Roman" w:cs="Times New Roman"/>
        </w:rPr>
        <w:t xml:space="preserve"> e </w:t>
      </w:r>
      <w:proofErr w:type="spellStart"/>
      <w:r w:rsidRPr="00F05EF7">
        <w:rPr>
          <w:rFonts w:ascii="Times New Roman" w:eastAsia="Times New Roman" w:hAnsi="Times New Roman" w:cs="Times New Roman"/>
        </w:rPr>
        <w:t>Funke</w:t>
      </w:r>
      <w:proofErr w:type="spellEnd"/>
      <w:r w:rsidRPr="00F05EF7">
        <w:rPr>
          <w:rFonts w:ascii="Times New Roman" w:eastAsia="Times New Roman" w:hAnsi="Times New Roman" w:cs="Times New Roman"/>
        </w:rPr>
        <w:t xml:space="preserve"> (2015), o desempenho dessas organizações é fortemente impac</w:t>
      </w:r>
      <w:r w:rsidR="00A92DD8" w:rsidRPr="00F05EF7">
        <w:rPr>
          <w:rFonts w:ascii="Times New Roman" w:eastAsia="Times New Roman" w:hAnsi="Times New Roman" w:cs="Times New Roman"/>
        </w:rPr>
        <w:t>tado pelas práticas gerenciais. No</w:t>
      </w:r>
      <w:r w:rsidRPr="00F05EF7">
        <w:rPr>
          <w:rFonts w:ascii="Times New Roman" w:eastAsia="Times New Roman" w:hAnsi="Times New Roman" w:cs="Times New Roman"/>
        </w:rPr>
        <w:t xml:space="preserve"> âmbito da </w:t>
      </w:r>
      <w:r w:rsidR="00F7582A" w:rsidRPr="006026C8">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é por meio da transparência, considerado princípio basilar da governança pública, que os entes avaliam a efetividade de seus indicadores de desempenho e desenvolvimento econômico (CRUZ et al., 2012).</w:t>
      </w:r>
    </w:p>
    <w:p w14:paraId="09E222E6" w14:textId="21548F36" w:rsidR="00821527" w:rsidRPr="00F05EF7" w:rsidRDefault="0010504B" w:rsidP="00AC4D11">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Nesse sentido, </w:t>
      </w:r>
      <w:r w:rsidR="001C4197" w:rsidRPr="00F05EF7">
        <w:rPr>
          <w:rFonts w:ascii="Times New Roman" w:eastAsia="Times New Roman" w:hAnsi="Times New Roman" w:cs="Times New Roman"/>
        </w:rPr>
        <w:t>a transparência n</w:t>
      </w:r>
      <w:r w:rsidRPr="00F05EF7">
        <w:rPr>
          <w:rFonts w:ascii="Times New Roman" w:eastAsia="Times New Roman" w:hAnsi="Times New Roman" w:cs="Times New Roman"/>
        </w:rPr>
        <w:t>o</w:t>
      </w:r>
      <w:r w:rsidR="001C4197" w:rsidRPr="00F05EF7">
        <w:rPr>
          <w:rFonts w:ascii="Times New Roman" w:eastAsia="Times New Roman" w:hAnsi="Times New Roman" w:cs="Times New Roman"/>
        </w:rPr>
        <w:t>s atos de elaboração, execução e avaliação do</w:t>
      </w:r>
      <w:r w:rsidRPr="00F05EF7">
        <w:rPr>
          <w:rFonts w:ascii="Times New Roman" w:eastAsia="Times New Roman" w:hAnsi="Times New Roman" w:cs="Times New Roman"/>
        </w:rPr>
        <w:t xml:space="preserve"> orçamento público surge</w:t>
      </w:r>
      <w:r w:rsidR="001C4197" w:rsidRPr="00F05EF7">
        <w:rPr>
          <w:rFonts w:ascii="Times New Roman" w:eastAsia="Times New Roman" w:hAnsi="Times New Roman" w:cs="Times New Roman"/>
        </w:rPr>
        <w:t>m</w:t>
      </w:r>
      <w:r w:rsidRPr="00F05EF7">
        <w:rPr>
          <w:rFonts w:ascii="Times New Roman" w:eastAsia="Times New Roman" w:hAnsi="Times New Roman" w:cs="Times New Roman"/>
        </w:rPr>
        <w:t xml:space="preserve"> como um importante instrumento de ação governamental, </w:t>
      </w:r>
      <w:r w:rsidR="001C4197" w:rsidRPr="00F05EF7">
        <w:rPr>
          <w:rFonts w:ascii="Times New Roman" w:eastAsia="Times New Roman" w:hAnsi="Times New Roman" w:cs="Times New Roman"/>
        </w:rPr>
        <w:t>já que torna</w:t>
      </w:r>
      <w:r w:rsidRPr="00F05EF7">
        <w:rPr>
          <w:rFonts w:ascii="Times New Roman" w:eastAsia="Times New Roman" w:hAnsi="Times New Roman" w:cs="Times New Roman"/>
        </w:rPr>
        <w:t xml:space="preserve"> possível a implementação das ações governamentais e de políticas </w:t>
      </w:r>
      <w:r w:rsidR="00A92DD8" w:rsidRPr="00F05EF7">
        <w:rPr>
          <w:rFonts w:ascii="Times New Roman" w:eastAsia="Times New Roman" w:hAnsi="Times New Roman" w:cs="Times New Roman"/>
        </w:rPr>
        <w:t>públicas (ABREU; CÂMARA, 2015). S</w:t>
      </w:r>
      <w:r w:rsidRPr="00F05EF7">
        <w:rPr>
          <w:rFonts w:ascii="Times New Roman" w:eastAsia="Times New Roman" w:hAnsi="Times New Roman" w:cs="Times New Roman"/>
        </w:rPr>
        <w:t xml:space="preserve">egundo </w:t>
      </w:r>
      <w:proofErr w:type="spellStart"/>
      <w:r w:rsidRPr="00F05EF7">
        <w:rPr>
          <w:rFonts w:ascii="Times New Roman" w:eastAsia="Times New Roman" w:hAnsi="Times New Roman" w:cs="Times New Roman"/>
        </w:rPr>
        <w:t>Cousins</w:t>
      </w:r>
      <w:proofErr w:type="spellEnd"/>
      <w:r w:rsidRPr="00F05EF7">
        <w:rPr>
          <w:rFonts w:ascii="Times New Roman" w:eastAsia="Times New Roman" w:hAnsi="Times New Roman" w:cs="Times New Roman"/>
        </w:rPr>
        <w:t xml:space="preserve"> et al. (2014), o estabelecimento de procedimentos e </w:t>
      </w:r>
      <w:r w:rsidRPr="00F05EF7">
        <w:rPr>
          <w:rFonts w:ascii="Times New Roman" w:eastAsia="Times New Roman" w:hAnsi="Times New Roman" w:cs="Times New Roman"/>
        </w:rPr>
        <w:lastRenderedPageBreak/>
        <w:t xml:space="preserve">políticas relacionadas aos processos orçamentários contribui para que os gestores públicos executem a avaliação e o controle sobre todos os órgãos da </w:t>
      </w:r>
      <w:r w:rsidR="00F7582A" w:rsidRPr="006026C8">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Para tanto, a Lei Complementar nº 4.320/1964 institui normas gerais de direito financeiro com vistas a orientar os procedimentos relativos à elaboração e o controle dos orçamentos e balanços de todos os entes federados (BRASIL, 1964). </w:t>
      </w:r>
    </w:p>
    <w:p w14:paraId="4361852E" w14:textId="0001EF93" w:rsidR="00821527" w:rsidRPr="00F05EF7" w:rsidRDefault="0010504B" w:rsidP="00AC4D11">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Nessa ótica, os entes públicos devem evidenciar a situação de todos </w:t>
      </w:r>
      <w:r w:rsidR="00B46652">
        <w:rPr>
          <w:rFonts w:ascii="Times New Roman" w:eastAsia="Times New Roman" w:hAnsi="Times New Roman" w:cs="Times New Roman"/>
        </w:rPr>
        <w:t>que</w:t>
      </w:r>
      <w:r w:rsidRPr="00F05EF7">
        <w:rPr>
          <w:rFonts w:ascii="Times New Roman" w:eastAsia="Times New Roman" w:hAnsi="Times New Roman" w:cs="Times New Roman"/>
        </w:rPr>
        <w:t xml:space="preserve"> arrecadem receitas, efetuem despesas, bem como os bens a ele pertencentes ou confiados, por força de Lei (BRASIL, 1964). Tai</w:t>
      </w:r>
      <w:r w:rsidR="00585119">
        <w:rPr>
          <w:rFonts w:ascii="Times New Roman" w:eastAsia="Times New Roman" w:hAnsi="Times New Roman" w:cs="Times New Roman"/>
        </w:rPr>
        <w:t xml:space="preserve">s valores são evidenciados nas </w:t>
      </w:r>
      <w:r w:rsidR="00585119" w:rsidRPr="006026C8">
        <w:rPr>
          <w:rFonts w:ascii="Times New Roman" w:eastAsia="Times New Roman" w:hAnsi="Times New Roman" w:cs="Times New Roman"/>
        </w:rPr>
        <w:t>L</w:t>
      </w:r>
      <w:r w:rsidRPr="006026C8">
        <w:rPr>
          <w:rFonts w:ascii="Times New Roman" w:eastAsia="Times New Roman" w:hAnsi="Times New Roman" w:cs="Times New Roman"/>
        </w:rPr>
        <w:t xml:space="preserve">eis </w:t>
      </w:r>
      <w:r w:rsidR="00585119" w:rsidRPr="006026C8">
        <w:rPr>
          <w:rFonts w:ascii="Times New Roman" w:eastAsia="Times New Roman" w:hAnsi="Times New Roman" w:cs="Times New Roman"/>
        </w:rPr>
        <w:t>O</w:t>
      </w:r>
      <w:r w:rsidRPr="006026C8">
        <w:rPr>
          <w:rFonts w:ascii="Times New Roman" w:eastAsia="Times New Roman" w:hAnsi="Times New Roman" w:cs="Times New Roman"/>
        </w:rPr>
        <w:t>rçamentárias</w:t>
      </w:r>
      <w:r w:rsidRPr="00F05EF7">
        <w:rPr>
          <w:rFonts w:ascii="Times New Roman" w:eastAsia="Times New Roman" w:hAnsi="Times New Roman" w:cs="Times New Roman"/>
        </w:rPr>
        <w:t xml:space="preserve"> da organização pública. O modelo orçamentário brasileiro é definido pelo artigo 165 da Constituição Federal (CF) de 1988, que compreende: a) Plano Plurianual (PPA); b) Lei de Diretrizes Orçamentárias (LDO) e c) Lei do Orçamento Anual (LOA). </w:t>
      </w:r>
    </w:p>
    <w:p w14:paraId="0F3F1553" w14:textId="56BC5695" w:rsidR="00821527" w:rsidRPr="00F05EF7" w:rsidRDefault="0010504B" w:rsidP="00AC4D11">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Conforme </w:t>
      </w:r>
      <w:proofErr w:type="spellStart"/>
      <w:r w:rsidRPr="00F05EF7">
        <w:rPr>
          <w:rFonts w:ascii="Times New Roman" w:eastAsia="Times New Roman" w:hAnsi="Times New Roman" w:cs="Times New Roman"/>
        </w:rPr>
        <w:t>Giacomoni</w:t>
      </w:r>
      <w:proofErr w:type="spellEnd"/>
      <w:r w:rsidRPr="00F05EF7">
        <w:rPr>
          <w:rFonts w:ascii="Times New Roman" w:eastAsia="Times New Roman" w:hAnsi="Times New Roman" w:cs="Times New Roman"/>
        </w:rPr>
        <w:t xml:space="preserve"> (2010), esse sistema de planejamento, formado pelas três leis, atua de maneira integrada. Dessa forma, o PPA leva em consideração o atingimento das diretrizes, objetivos e metas regionalizadas, enquanto a LDO contém as metas e prioridades da </w:t>
      </w:r>
      <w:r w:rsidR="00F7582A">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para o próximo exercício e a LOA corresponde </w:t>
      </w:r>
      <w:r w:rsidR="004934E0" w:rsidRPr="00F05EF7">
        <w:rPr>
          <w:rFonts w:ascii="Times New Roman" w:eastAsia="Times New Roman" w:hAnsi="Times New Roman" w:cs="Times New Roman"/>
        </w:rPr>
        <w:t>ao modo como o orçamento será executado</w:t>
      </w:r>
      <w:r w:rsidRPr="00F05EF7">
        <w:rPr>
          <w:rFonts w:ascii="Times New Roman" w:eastAsia="Times New Roman" w:hAnsi="Times New Roman" w:cs="Times New Roman"/>
        </w:rPr>
        <w:t xml:space="preserve">, compreendido pelo orçamento fiscal, da seguridade social e de investimento. </w:t>
      </w:r>
    </w:p>
    <w:p w14:paraId="0221BBF1" w14:textId="2EA60467" w:rsidR="00821527" w:rsidRPr="00F05EF7" w:rsidRDefault="00CA49FA" w:rsidP="00AC4D11">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No entanto, no</w:t>
      </w:r>
      <w:r w:rsidR="0010504B" w:rsidRPr="00F05EF7">
        <w:rPr>
          <w:rFonts w:ascii="Times New Roman" w:eastAsia="Times New Roman" w:hAnsi="Times New Roman" w:cs="Times New Roman"/>
        </w:rPr>
        <w:t xml:space="preserve"> entender de </w:t>
      </w:r>
      <w:proofErr w:type="spellStart"/>
      <w:r w:rsidR="0010504B" w:rsidRPr="00F05EF7">
        <w:rPr>
          <w:rFonts w:ascii="Times New Roman" w:eastAsia="Times New Roman" w:hAnsi="Times New Roman" w:cs="Times New Roman"/>
        </w:rPr>
        <w:t>Facchini</w:t>
      </w:r>
      <w:proofErr w:type="spellEnd"/>
      <w:r w:rsidR="0010504B" w:rsidRPr="00F05EF7">
        <w:rPr>
          <w:rFonts w:ascii="Times New Roman" w:eastAsia="Times New Roman" w:hAnsi="Times New Roman" w:cs="Times New Roman"/>
        </w:rPr>
        <w:t xml:space="preserve"> e </w:t>
      </w:r>
      <w:proofErr w:type="spellStart"/>
      <w:r w:rsidR="0010504B" w:rsidRPr="00F05EF7">
        <w:rPr>
          <w:rFonts w:ascii="Times New Roman" w:eastAsia="Times New Roman" w:hAnsi="Times New Roman" w:cs="Times New Roman"/>
        </w:rPr>
        <w:t>Melki</w:t>
      </w:r>
      <w:proofErr w:type="spellEnd"/>
      <w:r w:rsidR="0010504B" w:rsidRPr="00F05EF7">
        <w:rPr>
          <w:rFonts w:ascii="Times New Roman" w:eastAsia="Times New Roman" w:hAnsi="Times New Roman" w:cs="Times New Roman"/>
        </w:rPr>
        <w:t xml:space="preserve"> (2013), a instituição pública tem dois efeitos contrastantes no que tange </w:t>
      </w:r>
      <w:r w:rsidR="006026C8">
        <w:rPr>
          <w:rFonts w:ascii="Times New Roman" w:eastAsia="Times New Roman" w:hAnsi="Times New Roman" w:cs="Times New Roman"/>
        </w:rPr>
        <w:t>a</w:t>
      </w:r>
      <w:r w:rsidR="0010504B" w:rsidRPr="006026C8">
        <w:rPr>
          <w:rFonts w:ascii="Times New Roman" w:eastAsia="Times New Roman" w:hAnsi="Times New Roman" w:cs="Times New Roman"/>
        </w:rPr>
        <w:t xml:space="preserve"> alocação</w:t>
      </w:r>
      <w:r w:rsidR="0010504B" w:rsidRPr="00F05EF7">
        <w:rPr>
          <w:rFonts w:ascii="Times New Roman" w:eastAsia="Times New Roman" w:hAnsi="Times New Roman" w:cs="Times New Roman"/>
        </w:rPr>
        <w:t xml:space="preserve"> dos recursos públicos, custos e benefícios, os quais possuem impacto decisivo no desempenho social e econômico do ente (GWARTNEY; STROUP, 2014). Diante disso, sob o mecanismo da regra da maioria, o governo deve fornecer bens públicos com base nas preferências do público, a fim de atender à demanda ótima da sociedade (SU; BUI, 2017)</w:t>
      </w:r>
      <w:r w:rsidR="00506B7C" w:rsidRPr="00F05EF7">
        <w:rPr>
          <w:rFonts w:ascii="Times New Roman" w:eastAsia="Times New Roman" w:hAnsi="Times New Roman" w:cs="Times New Roman"/>
        </w:rPr>
        <w:t xml:space="preserve">, sendo </w:t>
      </w:r>
      <w:r w:rsidR="00AF2B56" w:rsidRPr="00F05EF7">
        <w:rPr>
          <w:rFonts w:ascii="Times New Roman" w:eastAsia="Times New Roman" w:hAnsi="Times New Roman" w:cs="Times New Roman"/>
        </w:rPr>
        <w:t>através do orçamento público que os entes federados programam suas ações governamentais</w:t>
      </w:r>
      <w:r w:rsidR="00506B7C" w:rsidRPr="00F05EF7">
        <w:rPr>
          <w:rFonts w:ascii="Times New Roman" w:eastAsia="Times New Roman" w:hAnsi="Times New Roman" w:cs="Times New Roman"/>
        </w:rPr>
        <w:t>, para, posteriormente, executá-las.</w:t>
      </w:r>
    </w:p>
    <w:p w14:paraId="6333B529" w14:textId="3DBCAD90" w:rsidR="00821527" w:rsidRDefault="0010504B" w:rsidP="00AC4D11">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Assim, </w:t>
      </w:r>
      <w:r w:rsidR="00AF2B56" w:rsidRPr="00F05EF7">
        <w:rPr>
          <w:rFonts w:ascii="Times New Roman" w:eastAsia="Times New Roman" w:hAnsi="Times New Roman" w:cs="Times New Roman"/>
        </w:rPr>
        <w:t xml:space="preserve">a aprovação do orçamento implica na </w:t>
      </w:r>
      <w:r w:rsidR="005B41B2" w:rsidRPr="00F05EF7">
        <w:rPr>
          <w:rFonts w:ascii="Times New Roman" w:eastAsia="Times New Roman" w:hAnsi="Times New Roman" w:cs="Times New Roman"/>
        </w:rPr>
        <w:t>autorização</w:t>
      </w:r>
      <w:r w:rsidR="00AF2B56" w:rsidRPr="00F05EF7">
        <w:rPr>
          <w:rFonts w:ascii="Times New Roman" w:eastAsia="Times New Roman" w:hAnsi="Times New Roman" w:cs="Times New Roman"/>
        </w:rPr>
        <w:t xml:space="preserve"> de</w:t>
      </w:r>
      <w:r w:rsidRPr="00F05EF7">
        <w:rPr>
          <w:rFonts w:ascii="Times New Roman" w:eastAsia="Times New Roman" w:hAnsi="Times New Roman" w:cs="Times New Roman"/>
        </w:rPr>
        <w:t xml:space="preserve"> créditos orçamentários</w:t>
      </w:r>
      <w:r w:rsidR="005B41B2" w:rsidRPr="00F05EF7">
        <w:rPr>
          <w:rFonts w:ascii="Times New Roman" w:eastAsia="Times New Roman" w:hAnsi="Times New Roman" w:cs="Times New Roman"/>
        </w:rPr>
        <w:t>, para fazer frente às despesas</w:t>
      </w:r>
      <w:r w:rsidRPr="00F05EF7">
        <w:rPr>
          <w:rFonts w:ascii="Times New Roman" w:eastAsia="Times New Roman" w:hAnsi="Times New Roman" w:cs="Times New Roman"/>
        </w:rPr>
        <w:t xml:space="preserve">, mas são os créditos adicionais que possibilitam ao gestor público fazer </w:t>
      </w:r>
      <w:r w:rsidR="005B41B2" w:rsidRPr="00F05EF7">
        <w:rPr>
          <w:rFonts w:ascii="Times New Roman" w:eastAsia="Times New Roman" w:hAnsi="Times New Roman" w:cs="Times New Roman"/>
        </w:rPr>
        <w:t>alterações</w:t>
      </w:r>
      <w:r w:rsidRPr="00F05EF7">
        <w:rPr>
          <w:rFonts w:ascii="Times New Roman" w:eastAsia="Times New Roman" w:hAnsi="Times New Roman" w:cs="Times New Roman"/>
        </w:rPr>
        <w:t xml:space="preserve"> </w:t>
      </w:r>
      <w:r w:rsidR="005B41B2" w:rsidRPr="00F05EF7">
        <w:rPr>
          <w:rFonts w:ascii="Times New Roman" w:eastAsia="Times New Roman" w:hAnsi="Times New Roman" w:cs="Times New Roman"/>
        </w:rPr>
        <w:t xml:space="preserve">posteriores </w:t>
      </w:r>
      <w:r w:rsidRPr="00F05EF7">
        <w:rPr>
          <w:rFonts w:ascii="Times New Roman" w:eastAsia="Times New Roman" w:hAnsi="Times New Roman" w:cs="Times New Roman"/>
        </w:rPr>
        <w:t xml:space="preserve">na peça orçamentária, com vistas </w:t>
      </w:r>
      <w:r w:rsidR="00872A5F" w:rsidRPr="00F05EF7">
        <w:rPr>
          <w:rFonts w:ascii="Times New Roman" w:eastAsia="Times New Roman" w:hAnsi="Times New Roman" w:cs="Times New Roman"/>
        </w:rPr>
        <w:t>à</w:t>
      </w:r>
      <w:r w:rsidRPr="00F05EF7">
        <w:rPr>
          <w:rFonts w:ascii="Times New Roman" w:eastAsia="Times New Roman" w:hAnsi="Times New Roman" w:cs="Times New Roman"/>
        </w:rPr>
        <w:t xml:space="preserve"> correção de distorções </w:t>
      </w:r>
      <w:r w:rsidR="005B41B2" w:rsidRPr="00F05EF7">
        <w:rPr>
          <w:rFonts w:ascii="Times New Roman" w:eastAsia="Times New Roman" w:hAnsi="Times New Roman" w:cs="Times New Roman"/>
        </w:rPr>
        <w:t>e até mesmo</w:t>
      </w:r>
      <w:r w:rsidRPr="00F05EF7">
        <w:rPr>
          <w:rFonts w:ascii="Times New Roman" w:eastAsia="Times New Roman" w:hAnsi="Times New Roman" w:cs="Times New Roman"/>
        </w:rPr>
        <w:t xml:space="preserve"> para</w:t>
      </w:r>
      <w:r w:rsidR="00872A5F" w:rsidRPr="00F05EF7">
        <w:rPr>
          <w:rFonts w:ascii="Times New Roman" w:eastAsia="Times New Roman" w:hAnsi="Times New Roman" w:cs="Times New Roman"/>
        </w:rPr>
        <w:t xml:space="preserve"> </w:t>
      </w:r>
      <w:r w:rsidR="005B41B2" w:rsidRPr="00F05EF7">
        <w:rPr>
          <w:rFonts w:ascii="Times New Roman" w:eastAsia="Times New Roman" w:hAnsi="Times New Roman" w:cs="Times New Roman"/>
        </w:rPr>
        <w:t xml:space="preserve">suprir </w:t>
      </w:r>
      <w:r w:rsidRPr="00F05EF7">
        <w:rPr>
          <w:rFonts w:ascii="Times New Roman" w:eastAsia="Times New Roman" w:hAnsi="Times New Roman" w:cs="Times New Roman"/>
        </w:rPr>
        <w:t>despesas imprevistas ou extraordinárias</w:t>
      </w:r>
      <w:r w:rsidR="00872A5F" w:rsidRPr="00F05EF7">
        <w:rPr>
          <w:rFonts w:ascii="Times New Roman" w:eastAsia="Times New Roman" w:hAnsi="Times New Roman" w:cs="Times New Roman"/>
        </w:rPr>
        <w:t xml:space="preserve">, que </w:t>
      </w:r>
      <w:r w:rsidR="005B41B2" w:rsidRPr="00F05EF7">
        <w:rPr>
          <w:rFonts w:ascii="Times New Roman" w:eastAsia="Times New Roman" w:hAnsi="Times New Roman" w:cs="Times New Roman"/>
        </w:rPr>
        <w:t>se mostrem necessárias</w:t>
      </w:r>
      <w:r w:rsidR="00872A5F" w:rsidRPr="00F05EF7">
        <w:rPr>
          <w:rFonts w:ascii="Times New Roman" w:eastAsia="Times New Roman" w:hAnsi="Times New Roman" w:cs="Times New Roman"/>
        </w:rPr>
        <w:t xml:space="preserve"> no curso do exercício financeiro</w:t>
      </w:r>
      <w:r w:rsidRPr="00F05EF7">
        <w:rPr>
          <w:rFonts w:ascii="Times New Roman" w:eastAsia="Times New Roman" w:hAnsi="Times New Roman" w:cs="Times New Roman"/>
        </w:rPr>
        <w:t xml:space="preserve"> (GIACOMONI, 2010). Ocorre que, muitos municípios brasileiros distorcem a função real dos créditos adicionais, uma vez que, ao invés de </w:t>
      </w:r>
      <w:r w:rsidR="00872A5F" w:rsidRPr="00F05EF7">
        <w:rPr>
          <w:rFonts w:ascii="Times New Roman" w:eastAsia="Times New Roman" w:hAnsi="Times New Roman" w:cs="Times New Roman"/>
        </w:rPr>
        <w:t>aperfeiçoar</w:t>
      </w:r>
      <w:r w:rsidRPr="00F05EF7">
        <w:rPr>
          <w:rFonts w:ascii="Times New Roman" w:eastAsia="Times New Roman" w:hAnsi="Times New Roman" w:cs="Times New Roman"/>
        </w:rPr>
        <w:t xml:space="preserve"> s</w:t>
      </w:r>
      <w:r w:rsidR="00872A5F" w:rsidRPr="00F05EF7">
        <w:rPr>
          <w:rFonts w:ascii="Times New Roman" w:eastAsia="Times New Roman" w:hAnsi="Times New Roman" w:cs="Times New Roman"/>
        </w:rPr>
        <w:t xml:space="preserve">eus planejamentos orçamentários e </w:t>
      </w:r>
      <w:r w:rsidR="00872A5F" w:rsidRPr="006026C8">
        <w:rPr>
          <w:rFonts w:ascii="Times New Roman" w:eastAsia="Times New Roman" w:hAnsi="Times New Roman" w:cs="Times New Roman"/>
        </w:rPr>
        <w:t>torn</w:t>
      </w:r>
      <w:r w:rsidR="006026C8">
        <w:rPr>
          <w:rFonts w:ascii="Times New Roman" w:eastAsia="Times New Roman" w:hAnsi="Times New Roman" w:cs="Times New Roman"/>
        </w:rPr>
        <w:t>a</w:t>
      </w:r>
      <w:r w:rsidR="00872A5F" w:rsidRPr="00F05EF7">
        <w:rPr>
          <w:rFonts w:ascii="Times New Roman" w:eastAsia="Times New Roman" w:hAnsi="Times New Roman" w:cs="Times New Roman"/>
        </w:rPr>
        <w:t>-los mais eficientes com o transcurso dos anos</w:t>
      </w:r>
      <w:r w:rsidRPr="00F05EF7">
        <w:rPr>
          <w:rFonts w:ascii="Times New Roman" w:eastAsia="Times New Roman" w:hAnsi="Times New Roman" w:cs="Times New Roman"/>
        </w:rPr>
        <w:t xml:space="preserve">, acabam recorrendo de forma </w:t>
      </w:r>
      <w:r w:rsidR="005B41B2" w:rsidRPr="00F05EF7">
        <w:rPr>
          <w:rFonts w:ascii="Times New Roman" w:eastAsia="Times New Roman" w:hAnsi="Times New Roman" w:cs="Times New Roman"/>
        </w:rPr>
        <w:t>desmedida</w:t>
      </w:r>
      <w:r w:rsidRPr="00F05EF7">
        <w:rPr>
          <w:rFonts w:ascii="Times New Roman" w:eastAsia="Times New Roman" w:hAnsi="Times New Roman" w:cs="Times New Roman"/>
        </w:rPr>
        <w:t xml:space="preserve"> aos créditos adicionais para corrigir </w:t>
      </w:r>
      <w:r w:rsidR="005B41B2" w:rsidRPr="00F05EF7">
        <w:rPr>
          <w:rFonts w:ascii="Times New Roman" w:eastAsia="Times New Roman" w:hAnsi="Times New Roman" w:cs="Times New Roman"/>
        </w:rPr>
        <w:t>erros de imprecisão no</w:t>
      </w:r>
      <w:r w:rsidR="00DA0812" w:rsidRPr="00F05EF7">
        <w:rPr>
          <w:rFonts w:ascii="Times New Roman" w:eastAsia="Times New Roman" w:hAnsi="Times New Roman" w:cs="Times New Roman"/>
        </w:rPr>
        <w:t>s seus</w:t>
      </w:r>
      <w:r w:rsidR="005B41B2" w:rsidRPr="00F05EF7">
        <w:rPr>
          <w:rFonts w:ascii="Times New Roman" w:eastAsia="Times New Roman" w:hAnsi="Times New Roman" w:cs="Times New Roman"/>
        </w:rPr>
        <w:t xml:space="preserve"> </w:t>
      </w:r>
      <w:r w:rsidR="00DA0812" w:rsidRPr="00F05EF7">
        <w:rPr>
          <w:rFonts w:ascii="Times New Roman" w:eastAsia="Times New Roman" w:hAnsi="Times New Roman" w:cs="Times New Roman"/>
        </w:rPr>
        <w:t xml:space="preserve">projetos de </w:t>
      </w:r>
      <w:r w:rsidR="00585119" w:rsidRPr="006026C8">
        <w:rPr>
          <w:rFonts w:ascii="Times New Roman" w:eastAsia="Times New Roman" w:hAnsi="Times New Roman" w:cs="Times New Roman"/>
        </w:rPr>
        <w:t>Lei Orçamentária</w:t>
      </w:r>
      <w:r w:rsidR="005B41B2" w:rsidRPr="00F05EF7">
        <w:rPr>
          <w:rFonts w:ascii="Times New Roman" w:eastAsia="Times New Roman" w:hAnsi="Times New Roman" w:cs="Times New Roman"/>
        </w:rPr>
        <w:t>.</w:t>
      </w:r>
    </w:p>
    <w:p w14:paraId="1F394C32" w14:textId="59149777" w:rsidR="00B46652" w:rsidRPr="0041619F" w:rsidRDefault="00B46652" w:rsidP="00AC4D11">
      <w:pPr>
        <w:widowControl w:val="0"/>
        <w:pBdr>
          <w:top w:val="nil"/>
          <w:left w:val="nil"/>
          <w:bottom w:val="nil"/>
          <w:right w:val="nil"/>
          <w:between w:val="nil"/>
        </w:pBdr>
        <w:ind w:firstLine="709"/>
        <w:jc w:val="both"/>
      </w:pPr>
      <w:r w:rsidRPr="0041619F">
        <w:rPr>
          <w:rFonts w:ascii="Times New Roman" w:eastAsia="Times New Roman" w:hAnsi="Times New Roman" w:cs="Times New Roman"/>
        </w:rPr>
        <w:t xml:space="preserve">A pesquisa </w:t>
      </w:r>
      <w:r>
        <w:rPr>
          <w:rFonts w:ascii="Times New Roman" w:eastAsia="Times New Roman" w:hAnsi="Times New Roman" w:cs="Times New Roman"/>
        </w:rPr>
        <w:t>foi</w:t>
      </w:r>
      <w:r w:rsidRPr="0041619F">
        <w:rPr>
          <w:rFonts w:ascii="Times New Roman" w:eastAsia="Times New Roman" w:hAnsi="Times New Roman" w:cs="Times New Roman"/>
        </w:rPr>
        <w:t xml:space="preserve"> realizada em uma microrregião do cen</w:t>
      </w:r>
      <w:r w:rsidR="009A7A3C">
        <w:rPr>
          <w:rFonts w:ascii="Times New Roman" w:eastAsia="Times New Roman" w:hAnsi="Times New Roman" w:cs="Times New Roman"/>
        </w:rPr>
        <w:t xml:space="preserve">tro ocidental do estado do Rio </w:t>
      </w:r>
      <w:r w:rsidR="009A7A3C" w:rsidRPr="006026C8">
        <w:rPr>
          <w:rFonts w:ascii="Times New Roman" w:eastAsia="Times New Roman" w:hAnsi="Times New Roman" w:cs="Times New Roman"/>
        </w:rPr>
        <w:t>G</w:t>
      </w:r>
      <w:r w:rsidRPr="006026C8">
        <w:rPr>
          <w:rFonts w:ascii="Times New Roman" w:eastAsia="Times New Roman" w:hAnsi="Times New Roman" w:cs="Times New Roman"/>
        </w:rPr>
        <w:t>rande</w:t>
      </w:r>
      <w:r w:rsidRPr="0041619F">
        <w:rPr>
          <w:rFonts w:ascii="Times New Roman" w:eastAsia="Times New Roman" w:hAnsi="Times New Roman" w:cs="Times New Roman"/>
        </w:rPr>
        <w:t xml:space="preserve"> do Sul, no Brasil, </w:t>
      </w:r>
      <w:r>
        <w:rPr>
          <w:rFonts w:ascii="Times New Roman" w:eastAsia="Times New Roman" w:hAnsi="Times New Roman" w:cs="Times New Roman"/>
        </w:rPr>
        <w:t>onde</w:t>
      </w:r>
      <w:r w:rsidRPr="0041619F">
        <w:rPr>
          <w:rFonts w:ascii="Times New Roman" w:eastAsia="Times New Roman" w:hAnsi="Times New Roman" w:cs="Times New Roman"/>
        </w:rPr>
        <w:t xml:space="preserve"> a atuação mercantil dessa região é de cunho igualitário, ou seja, está voltada aos produtos de base primária. Além disso, todos os municípios estudados têm porte semelhante, ou seja, território, níveis de desenvolvimento e arrecadação relativamente equivalentes, o que permite a rea</w:t>
      </w:r>
      <w:r>
        <w:rPr>
          <w:rFonts w:ascii="Times New Roman" w:eastAsia="Times New Roman" w:hAnsi="Times New Roman" w:cs="Times New Roman"/>
        </w:rPr>
        <w:t>lização de análises comparativas mais consistentes</w:t>
      </w:r>
      <w:r w:rsidRPr="0041619F">
        <w:rPr>
          <w:rFonts w:ascii="Times New Roman" w:eastAsia="Times New Roman" w:hAnsi="Times New Roman" w:cs="Times New Roman"/>
        </w:rPr>
        <w:t>.</w:t>
      </w:r>
    </w:p>
    <w:p w14:paraId="5B4C7715" w14:textId="364B68A1" w:rsidR="00821527" w:rsidRPr="00F05EF7" w:rsidRDefault="00B46652" w:rsidP="00AC4D11">
      <w:pPr>
        <w:widowControl w:val="0"/>
        <w:pBdr>
          <w:top w:val="nil"/>
          <w:left w:val="nil"/>
          <w:bottom w:val="nil"/>
          <w:right w:val="nil"/>
          <w:between w:val="nil"/>
        </w:pBdr>
        <w:ind w:firstLine="709"/>
        <w:jc w:val="both"/>
        <w:rPr>
          <w:rFonts w:ascii="Times New Roman" w:eastAsia="Times New Roman" w:hAnsi="Times New Roman" w:cs="Times New Roman"/>
        </w:rPr>
      </w:pPr>
      <w:r w:rsidRPr="0041619F">
        <w:rPr>
          <w:rFonts w:ascii="Times New Roman" w:eastAsia="Times New Roman" w:hAnsi="Times New Roman" w:cs="Times New Roman"/>
        </w:rPr>
        <w:t xml:space="preserve">Concomitantemente, a plenitude de atuação da pesquisa foi atribuída à </w:t>
      </w:r>
      <w:r>
        <w:rPr>
          <w:rFonts w:ascii="Times New Roman" w:eastAsia="Times New Roman" w:hAnsi="Times New Roman" w:cs="Times New Roman"/>
        </w:rPr>
        <w:t>uma micror</w:t>
      </w:r>
      <w:r w:rsidRPr="0041619F">
        <w:rPr>
          <w:rFonts w:ascii="Times New Roman" w:eastAsia="Times New Roman" w:hAnsi="Times New Roman" w:cs="Times New Roman"/>
        </w:rPr>
        <w:t xml:space="preserve">região </w:t>
      </w:r>
      <w:r>
        <w:rPr>
          <w:rFonts w:ascii="Times New Roman" w:eastAsia="Times New Roman" w:hAnsi="Times New Roman" w:cs="Times New Roman"/>
        </w:rPr>
        <w:t>central</w:t>
      </w:r>
      <w:r w:rsidRPr="0041619F">
        <w:rPr>
          <w:rFonts w:ascii="Times New Roman" w:eastAsia="Times New Roman" w:hAnsi="Times New Roman" w:cs="Times New Roman"/>
        </w:rPr>
        <w:t xml:space="preserve"> do </w:t>
      </w:r>
      <w:r>
        <w:rPr>
          <w:rFonts w:ascii="Times New Roman" w:eastAsia="Times New Roman" w:hAnsi="Times New Roman" w:cs="Times New Roman"/>
        </w:rPr>
        <w:t>E</w:t>
      </w:r>
      <w:r w:rsidRPr="0041619F">
        <w:rPr>
          <w:rFonts w:ascii="Times New Roman" w:eastAsia="Times New Roman" w:hAnsi="Times New Roman" w:cs="Times New Roman"/>
        </w:rPr>
        <w:t xml:space="preserve">stado do Rio Grande do Sul, porque estudos preliminares apontam um baixo crescimento dos investimentos orçamentários </w:t>
      </w:r>
      <w:r w:rsidRPr="0041619F">
        <w:rPr>
          <w:rFonts w:ascii="Times New Roman" w:eastAsia="Times New Roman" w:hAnsi="Times New Roman" w:cs="Times New Roman"/>
          <w:i/>
        </w:rPr>
        <w:t xml:space="preserve">versus </w:t>
      </w:r>
      <w:r>
        <w:rPr>
          <w:rFonts w:ascii="Times New Roman" w:eastAsia="Times New Roman" w:hAnsi="Times New Roman" w:cs="Times New Roman"/>
        </w:rPr>
        <w:t xml:space="preserve">retorno para a sociedade. </w:t>
      </w:r>
      <w:r w:rsidR="0010504B" w:rsidRPr="00F05EF7">
        <w:rPr>
          <w:rFonts w:ascii="Times New Roman" w:eastAsia="Times New Roman" w:hAnsi="Times New Roman" w:cs="Times New Roman"/>
        </w:rPr>
        <w:t xml:space="preserve">Nesse sentido, </w:t>
      </w:r>
      <w:r w:rsidR="00CA49FA" w:rsidRPr="00F05EF7">
        <w:rPr>
          <w:rFonts w:ascii="Times New Roman" w:eastAsia="Times New Roman" w:hAnsi="Times New Roman" w:cs="Times New Roman"/>
        </w:rPr>
        <w:t>o objetivo deste estudo é analisar se os municípios analisados são eficientes na gestão e alocação dos créditos orçamentários, ou seja, se buscam corrigir as falhas existentes nos seus planejamentos e torná-los mais eficientes, evitando imprecisões e distorções, as quais são corrigidas mediante abertura de créditos adicionais.</w:t>
      </w:r>
      <w:r w:rsidR="0010504B" w:rsidRPr="00F05EF7">
        <w:rPr>
          <w:rFonts w:ascii="Times New Roman" w:eastAsia="Times New Roman" w:hAnsi="Times New Roman" w:cs="Times New Roman"/>
        </w:rPr>
        <w:t xml:space="preserve"> Logo, o estudo tem por objetivo responder ao seguinte questionamento: há imprecisão nos planejamentos orçamentários dos municípios pertencentes à microrregião de Restinga Seca?</w:t>
      </w:r>
    </w:p>
    <w:p w14:paraId="2ECD4E32" w14:textId="7ED9BCB4" w:rsidR="00821527" w:rsidRPr="00F05EF7" w:rsidRDefault="00CA49FA" w:rsidP="00AC4D11">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O</w:t>
      </w:r>
      <w:r w:rsidR="0010504B" w:rsidRPr="00F05EF7">
        <w:rPr>
          <w:rFonts w:ascii="Times New Roman" w:eastAsia="Times New Roman" w:hAnsi="Times New Roman" w:cs="Times New Roman"/>
        </w:rPr>
        <w:t xml:space="preserve"> orçamento público representa uma peça de suma importância, não somente para a </w:t>
      </w:r>
      <w:r w:rsidR="00F7582A" w:rsidRPr="006026C8">
        <w:rPr>
          <w:rFonts w:ascii="Times New Roman" w:eastAsia="Times New Roman" w:hAnsi="Times New Roman" w:cs="Times New Roman"/>
        </w:rPr>
        <w:t>Administração Pública</w:t>
      </w:r>
      <w:r w:rsidR="0010504B" w:rsidRPr="00F05EF7">
        <w:rPr>
          <w:rFonts w:ascii="Times New Roman" w:eastAsia="Times New Roman" w:hAnsi="Times New Roman" w:cs="Times New Roman"/>
        </w:rPr>
        <w:t>, mas também para a sociedade, tendo em vista que é através dele que se torna possível analisar o desempenho do gestor público e também desenvolver novas prátic</w:t>
      </w:r>
      <w:r w:rsidRPr="00F05EF7">
        <w:rPr>
          <w:rFonts w:ascii="Times New Roman" w:eastAsia="Times New Roman" w:hAnsi="Times New Roman" w:cs="Times New Roman"/>
        </w:rPr>
        <w:t xml:space="preserve">as </w:t>
      </w:r>
      <w:r w:rsidRPr="00F05EF7">
        <w:rPr>
          <w:rFonts w:ascii="Times New Roman" w:eastAsia="Times New Roman" w:hAnsi="Times New Roman" w:cs="Times New Roman"/>
        </w:rPr>
        <w:lastRenderedPageBreak/>
        <w:t>de gestão (</w:t>
      </w:r>
      <w:r w:rsidR="009C65B6" w:rsidRPr="00F05EF7">
        <w:rPr>
          <w:rFonts w:ascii="Times New Roman" w:eastAsia="Times New Roman" w:hAnsi="Times New Roman" w:cs="Times New Roman"/>
        </w:rPr>
        <w:t xml:space="preserve">POLLITT, </w:t>
      </w:r>
      <w:r w:rsidRPr="00F05EF7">
        <w:rPr>
          <w:rFonts w:ascii="Times New Roman" w:eastAsia="Times New Roman" w:hAnsi="Times New Roman" w:cs="Times New Roman"/>
        </w:rPr>
        <w:t>BOUCKAERT, 2011). Isto posto</w:t>
      </w:r>
      <w:r w:rsidR="0010504B" w:rsidRPr="00F05EF7">
        <w:rPr>
          <w:rFonts w:ascii="Times New Roman" w:eastAsia="Times New Roman" w:hAnsi="Times New Roman" w:cs="Times New Roman"/>
        </w:rPr>
        <w:t xml:space="preserve">, </w:t>
      </w:r>
      <w:r w:rsidRPr="00F05EF7">
        <w:rPr>
          <w:rFonts w:ascii="Times New Roman" w:eastAsia="Times New Roman" w:hAnsi="Times New Roman" w:cs="Times New Roman"/>
        </w:rPr>
        <w:t>o estudo</w:t>
      </w:r>
      <w:r w:rsidR="0010504B" w:rsidRPr="00F05EF7">
        <w:rPr>
          <w:rFonts w:ascii="Times New Roman" w:eastAsia="Times New Roman" w:hAnsi="Times New Roman" w:cs="Times New Roman"/>
        </w:rPr>
        <w:t xml:space="preserve"> mostra-se relevante </w:t>
      </w:r>
      <w:r w:rsidR="008C79E7" w:rsidRPr="00F05EF7">
        <w:rPr>
          <w:rFonts w:ascii="Times New Roman" w:eastAsia="Times New Roman" w:hAnsi="Times New Roman" w:cs="Times New Roman"/>
        </w:rPr>
        <w:t>na medida em que</w:t>
      </w:r>
      <w:r w:rsidR="0010504B" w:rsidRPr="00F05EF7">
        <w:rPr>
          <w:rFonts w:ascii="Times New Roman" w:eastAsia="Times New Roman" w:hAnsi="Times New Roman" w:cs="Times New Roman"/>
        </w:rPr>
        <w:t xml:space="preserve"> avalia a gestão dos créditos adicionais, </w:t>
      </w:r>
      <w:r w:rsidR="008C79E7" w:rsidRPr="00F05EF7">
        <w:rPr>
          <w:rFonts w:ascii="Times New Roman" w:eastAsia="Times New Roman" w:hAnsi="Times New Roman" w:cs="Times New Roman"/>
        </w:rPr>
        <w:t>sobretudo</w:t>
      </w:r>
      <w:r w:rsidR="0010504B" w:rsidRPr="00F05EF7">
        <w:rPr>
          <w:rFonts w:ascii="Times New Roman" w:eastAsia="Times New Roman" w:hAnsi="Times New Roman" w:cs="Times New Roman"/>
        </w:rPr>
        <w:t xml:space="preserve"> porque </w:t>
      </w:r>
      <w:r w:rsidR="00B46652" w:rsidRPr="00F05EF7">
        <w:rPr>
          <w:rFonts w:ascii="Times New Roman" w:eastAsia="Times New Roman" w:hAnsi="Times New Roman" w:cs="Times New Roman"/>
        </w:rPr>
        <w:t>os entes públicos têm</w:t>
      </w:r>
      <w:r w:rsidR="0010504B" w:rsidRPr="00F05EF7">
        <w:rPr>
          <w:rFonts w:ascii="Times New Roman" w:eastAsia="Times New Roman" w:hAnsi="Times New Roman" w:cs="Times New Roman"/>
        </w:rPr>
        <w:t xml:space="preserve"> dado escassa transparência </w:t>
      </w:r>
      <w:r w:rsidR="008C79E7" w:rsidRPr="00F05EF7">
        <w:rPr>
          <w:rFonts w:ascii="Times New Roman" w:eastAsia="Times New Roman" w:hAnsi="Times New Roman" w:cs="Times New Roman"/>
        </w:rPr>
        <w:t>às</w:t>
      </w:r>
      <w:r w:rsidR="0010504B" w:rsidRPr="00F05EF7">
        <w:rPr>
          <w:rFonts w:ascii="Times New Roman" w:eastAsia="Times New Roman" w:hAnsi="Times New Roman" w:cs="Times New Roman"/>
        </w:rPr>
        <w:t xml:space="preserve"> alteraçõe</w:t>
      </w:r>
      <w:r w:rsidR="00F3123F" w:rsidRPr="00F05EF7">
        <w:rPr>
          <w:rFonts w:ascii="Times New Roman" w:eastAsia="Times New Roman" w:hAnsi="Times New Roman" w:cs="Times New Roman"/>
        </w:rPr>
        <w:t xml:space="preserve">s orçamentárias, se comparadas </w:t>
      </w:r>
      <w:r w:rsidR="0010504B" w:rsidRPr="00F05EF7">
        <w:rPr>
          <w:rFonts w:ascii="Times New Roman" w:eastAsia="Times New Roman" w:hAnsi="Times New Roman" w:cs="Times New Roman"/>
        </w:rPr>
        <w:t xml:space="preserve">com as demais divulgações que ocorrem a partir do orçamento inicial (ANESSI-PESSINA; SICILIA; STECCOLINI, 2012). </w:t>
      </w:r>
    </w:p>
    <w:p w14:paraId="4DD37765" w14:textId="77777777" w:rsidR="00EA0B32" w:rsidRPr="00F05EF7" w:rsidRDefault="00EA0B32" w:rsidP="00AD5592">
      <w:pPr>
        <w:widowControl w:val="0"/>
        <w:pBdr>
          <w:top w:val="nil"/>
          <w:left w:val="nil"/>
          <w:bottom w:val="nil"/>
          <w:right w:val="nil"/>
          <w:between w:val="nil"/>
        </w:pBdr>
        <w:ind w:firstLine="709"/>
        <w:jc w:val="both"/>
        <w:rPr>
          <w:rFonts w:ascii="Times New Roman" w:eastAsia="Times New Roman" w:hAnsi="Times New Roman" w:cs="Times New Roman"/>
        </w:rPr>
      </w:pPr>
    </w:p>
    <w:p w14:paraId="69698783" w14:textId="77777777" w:rsidR="00F9587A" w:rsidRDefault="00EA0B32" w:rsidP="00AC4D11">
      <w:pPr>
        <w:pStyle w:val="Ttulo2"/>
        <w:ind w:firstLine="709"/>
        <w:rPr>
          <w:rFonts w:ascii="Times New Roman" w:eastAsia="Times New Roman" w:hAnsi="Times New Roman" w:cs="Times New Roman"/>
          <w:b/>
        </w:rPr>
      </w:pPr>
      <w:bookmarkStart w:id="1" w:name="_Toc17376024"/>
      <w:r w:rsidRPr="00F05EF7">
        <w:rPr>
          <w:rFonts w:ascii="Times New Roman" w:eastAsia="Times New Roman" w:hAnsi="Times New Roman" w:cs="Times New Roman"/>
          <w:b/>
        </w:rPr>
        <w:t xml:space="preserve">2 </w:t>
      </w:r>
      <w:r w:rsidR="00F9587A">
        <w:rPr>
          <w:rFonts w:ascii="Times New Roman" w:eastAsia="Times New Roman" w:hAnsi="Times New Roman" w:cs="Times New Roman"/>
          <w:b/>
        </w:rPr>
        <w:t>REFERENCIAL TEÓRICO</w:t>
      </w:r>
    </w:p>
    <w:p w14:paraId="2F5B687E" w14:textId="77777777" w:rsidR="00F9587A" w:rsidRDefault="00F9587A" w:rsidP="00AD5592">
      <w:pPr>
        <w:pStyle w:val="Ttulo2"/>
        <w:rPr>
          <w:rFonts w:ascii="Times New Roman" w:eastAsia="Times New Roman" w:hAnsi="Times New Roman" w:cs="Times New Roman"/>
          <w:b/>
        </w:rPr>
      </w:pPr>
    </w:p>
    <w:p w14:paraId="1F1B6822" w14:textId="6D7C96CA" w:rsidR="00EA0B32" w:rsidRPr="00AC4D11" w:rsidRDefault="00AC4D11" w:rsidP="00AC4D11">
      <w:pPr>
        <w:pStyle w:val="Ttulo2"/>
        <w:ind w:firstLine="709"/>
        <w:rPr>
          <w:rFonts w:ascii="Times New Roman" w:eastAsia="Times New Roman" w:hAnsi="Times New Roman" w:cs="Times New Roman"/>
          <w:bCs/>
        </w:rPr>
      </w:pPr>
      <w:r w:rsidRPr="00AC4D11">
        <w:rPr>
          <w:rFonts w:ascii="Times New Roman" w:eastAsia="Times New Roman" w:hAnsi="Times New Roman" w:cs="Times New Roman"/>
          <w:bCs/>
        </w:rPr>
        <w:t>2.1 SISTEMA DE PLANEJAMENTO ORÇAMENTÁRIO PÚBLICO</w:t>
      </w:r>
      <w:bookmarkEnd w:id="1"/>
    </w:p>
    <w:p w14:paraId="0D09DD9E" w14:textId="77777777" w:rsidR="00B46652" w:rsidRPr="00B46652" w:rsidRDefault="00B46652" w:rsidP="00AD5592"/>
    <w:p w14:paraId="7976959F" w14:textId="6D35BF71" w:rsidR="00EA0B32" w:rsidRPr="00F05EF7" w:rsidRDefault="00EA0B32"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De acordo com </w:t>
      </w:r>
      <w:proofErr w:type="spellStart"/>
      <w:r w:rsidRPr="00F05EF7">
        <w:rPr>
          <w:rFonts w:ascii="Times New Roman" w:eastAsia="Times New Roman" w:hAnsi="Times New Roman" w:cs="Times New Roman"/>
        </w:rPr>
        <w:t>Piscitelli</w:t>
      </w:r>
      <w:proofErr w:type="spellEnd"/>
      <w:r w:rsidRPr="00F05EF7">
        <w:rPr>
          <w:rFonts w:ascii="Times New Roman" w:eastAsia="Times New Roman" w:hAnsi="Times New Roman" w:cs="Times New Roman"/>
        </w:rPr>
        <w:t xml:space="preserve"> et al. (2004), é essencial que as autoridades e a sociedade civil tenham consciência da relevância e da necessidade da informação contábil como suporte para a tomada de decisões, assim como mecanismo de controle na utilização dos recursos públicos. Desta forma, é inegável que a </w:t>
      </w:r>
      <w:r w:rsidR="009A7A3C" w:rsidRPr="006026C8">
        <w:rPr>
          <w:rFonts w:ascii="Times New Roman" w:eastAsia="Times New Roman" w:hAnsi="Times New Roman" w:cs="Times New Roman"/>
        </w:rPr>
        <w:t>C</w:t>
      </w:r>
      <w:r w:rsidRPr="006026C8">
        <w:rPr>
          <w:rFonts w:ascii="Times New Roman" w:eastAsia="Times New Roman" w:hAnsi="Times New Roman" w:cs="Times New Roman"/>
        </w:rPr>
        <w:t xml:space="preserve">ontabilidade </w:t>
      </w:r>
      <w:r w:rsidR="009A7A3C" w:rsidRPr="006026C8">
        <w:rPr>
          <w:rFonts w:ascii="Times New Roman" w:eastAsia="Times New Roman" w:hAnsi="Times New Roman" w:cs="Times New Roman"/>
        </w:rPr>
        <w:t>P</w:t>
      </w:r>
      <w:r w:rsidRPr="006026C8">
        <w:rPr>
          <w:rFonts w:ascii="Times New Roman" w:eastAsia="Times New Roman" w:hAnsi="Times New Roman" w:cs="Times New Roman"/>
        </w:rPr>
        <w:t>ública</w:t>
      </w:r>
      <w:r w:rsidRPr="00F05EF7">
        <w:rPr>
          <w:rFonts w:ascii="Times New Roman" w:eastAsia="Times New Roman" w:hAnsi="Times New Roman" w:cs="Times New Roman"/>
        </w:rPr>
        <w:t xml:space="preserve"> é imprescindível à geração de informações, tanto para os gestores quanto para a sociedade e torna possível o exercício do controle social, além de auxiliar na tomada de decisões, e, por esta razão é a principal responsável pelo planejamento e execução do orçamento público (</w:t>
      </w:r>
      <w:r w:rsidR="004A2B9E" w:rsidRPr="00F05EF7">
        <w:rPr>
          <w:rFonts w:ascii="Times New Roman" w:eastAsia="Times New Roman" w:hAnsi="Times New Roman" w:cs="Times New Roman"/>
        </w:rPr>
        <w:t xml:space="preserve">MAGALHÃES et. al., </w:t>
      </w:r>
      <w:r w:rsidR="00AB7A59" w:rsidRPr="00F05EF7">
        <w:rPr>
          <w:rFonts w:ascii="Times New Roman" w:eastAsia="Times New Roman" w:hAnsi="Times New Roman" w:cs="Times New Roman"/>
        </w:rPr>
        <w:t>2019</w:t>
      </w:r>
      <w:r w:rsidRPr="00F05EF7">
        <w:rPr>
          <w:rFonts w:ascii="Times New Roman" w:eastAsia="Times New Roman" w:hAnsi="Times New Roman" w:cs="Times New Roman"/>
        </w:rPr>
        <w:t>).</w:t>
      </w:r>
    </w:p>
    <w:p w14:paraId="5556FA95" w14:textId="0212648E" w:rsidR="00EA0B32" w:rsidRPr="00F05EF7" w:rsidRDefault="00EA0B32"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O orçamento público, por sua vez, representa um dos mecanismos de gerenciamento da </w:t>
      </w:r>
      <w:r w:rsidR="00F7582A" w:rsidRPr="006026C8">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que mais tem relevância no contexto atual, porquanto é por meio dele que o governo estima a receita a ser arrecadada e fixa a despesa a ser executada no exercício financeiro seguinte ao seu planejamento (FONTES FILHO, OLIVEIRA, 2017). Além disso, o orçamento público é um importante instrumento que viabiliza a implementação de políticas públicas de distribuição de renda, realizadas pelos governos (GIACOMONI, 2010), sobretudo por expressar de forma monetária os recursos a serem mobilizados para a execução dessas políticas públicas e do plano de trabalho como um todo (MILION</w:t>
      </w:r>
      <w:r w:rsidR="00682B4E" w:rsidRPr="00F05EF7">
        <w:rPr>
          <w:rFonts w:ascii="Times New Roman" w:eastAsia="Times New Roman" w:hAnsi="Times New Roman" w:cs="Times New Roman"/>
        </w:rPr>
        <w:t>I</w:t>
      </w:r>
      <w:r w:rsidRPr="00F05EF7">
        <w:rPr>
          <w:rFonts w:ascii="Times New Roman" w:eastAsia="Times New Roman" w:hAnsi="Times New Roman" w:cs="Times New Roman"/>
        </w:rPr>
        <w:t>, BEHR, 2014).</w:t>
      </w:r>
    </w:p>
    <w:p w14:paraId="04D80FDB" w14:textId="2AF6BB4F"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Além de ser um instrumento de administração das ações governamentais, por mensurar as próprias condições internas para a execução dos planos ali previstos, o orçamento público também consiste em uma ferramenta que expressa o programa de atuação do governo, demonstrando a origem e o montante dos recursos, assim como a natureza e o montante das despesas que são apresentadas à sociedade (MAGALHÃES et. al., </w:t>
      </w:r>
      <w:r w:rsidR="00AB7A59" w:rsidRPr="00F05EF7">
        <w:rPr>
          <w:rFonts w:ascii="Times New Roman" w:eastAsia="Times New Roman" w:hAnsi="Times New Roman" w:cs="Times New Roman"/>
        </w:rPr>
        <w:t>2019</w:t>
      </w:r>
      <w:r w:rsidRPr="00F05EF7">
        <w:rPr>
          <w:rFonts w:ascii="Times New Roman" w:eastAsia="Times New Roman" w:hAnsi="Times New Roman" w:cs="Times New Roman"/>
        </w:rPr>
        <w:t xml:space="preserve">). O orçamento público cumpre um importante objetivo no âmbito da gestão pública: o de auxiliar no controle das </w:t>
      </w:r>
      <w:r w:rsidR="009A7A3C">
        <w:rPr>
          <w:rFonts w:ascii="Times New Roman" w:eastAsia="Times New Roman" w:hAnsi="Times New Roman" w:cs="Times New Roman"/>
        </w:rPr>
        <w:t>Finanças Públicas</w:t>
      </w:r>
      <w:r w:rsidRPr="00F05EF7">
        <w:rPr>
          <w:rFonts w:ascii="Times New Roman" w:eastAsia="Times New Roman" w:hAnsi="Times New Roman" w:cs="Times New Roman"/>
        </w:rPr>
        <w:t>, evitando que sejam executados gastos não previstos (SILVA, CARVALHO, MEDEIROS, 2009).</w:t>
      </w:r>
    </w:p>
    <w:p w14:paraId="6FE50359" w14:textId="00D41E6E" w:rsidR="00EA0B32" w:rsidRPr="006026C8" w:rsidRDefault="00EA0B32"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Destarte, </w:t>
      </w:r>
      <w:r w:rsidR="00AA7A33" w:rsidRPr="00F05EF7">
        <w:rPr>
          <w:rFonts w:ascii="Times New Roman" w:eastAsia="Times New Roman" w:hAnsi="Times New Roman" w:cs="Times New Roman"/>
        </w:rPr>
        <w:t xml:space="preserve">o orçamento </w:t>
      </w:r>
      <w:r w:rsidRPr="00F05EF7">
        <w:rPr>
          <w:rFonts w:ascii="Times New Roman" w:eastAsia="Times New Roman" w:hAnsi="Times New Roman" w:cs="Times New Roman"/>
        </w:rPr>
        <w:t xml:space="preserve">objetiva permitir o controle das </w:t>
      </w:r>
      <w:r w:rsidR="009A7A3C" w:rsidRPr="006026C8">
        <w:rPr>
          <w:rFonts w:ascii="Times New Roman" w:eastAsia="Times New Roman" w:hAnsi="Times New Roman" w:cs="Times New Roman"/>
        </w:rPr>
        <w:t>Finanças Públicas</w:t>
      </w:r>
      <w:r w:rsidRPr="006026C8">
        <w:rPr>
          <w:rFonts w:ascii="Times New Roman" w:eastAsia="Times New Roman" w:hAnsi="Times New Roman" w:cs="Times New Roman"/>
        </w:rPr>
        <w:t>, pois tem influência considerável no desempenho fiscal dos entes governamentais, além de influenciar e refletir nas decisões políticas destes (SILVA, CARVALHO, MEDEIROS, 2009; AZEVEDO, 2013). Soma-se a isto a possibilidade de realização de inúmeras outras análises que podem ser realizadas a partir dos dados orçamentários, especialmente a do nível de endividamento público, que pode ser aferido através dos registros orçamentários dos serviços da dívida pública (GUESS; LELOUP, 2010).</w:t>
      </w:r>
    </w:p>
    <w:p w14:paraId="3FBE4F6A" w14:textId="541308C8" w:rsidR="00EA0B32" w:rsidRPr="00F05EF7" w:rsidRDefault="00EA0B32"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6026C8">
        <w:rPr>
          <w:rFonts w:ascii="Times New Roman" w:eastAsia="Times New Roman" w:hAnsi="Times New Roman" w:cs="Times New Roman"/>
        </w:rPr>
        <w:t xml:space="preserve">No Brasil, o orçamento público está relacionado à ideia de orçamento-programa, metodologia atualmente utilizada por todos os entes ou entidades da </w:t>
      </w:r>
      <w:r w:rsidR="00F7582A" w:rsidRPr="006026C8">
        <w:rPr>
          <w:rFonts w:ascii="Times New Roman" w:eastAsia="Times New Roman" w:hAnsi="Times New Roman" w:cs="Times New Roman"/>
        </w:rPr>
        <w:t>Administração Pública</w:t>
      </w:r>
      <w:r w:rsidRPr="00F05EF7">
        <w:rPr>
          <w:rFonts w:ascii="Times New Roman" w:eastAsia="Times New Roman" w:hAnsi="Times New Roman" w:cs="Times New Roman"/>
        </w:rPr>
        <w:t>, uma vez que o Decreto-Lei nº 200/1967 determinou a elaboração dos orçamentos pela metodologia do orçamento-programa. Esse modelo orçamentário busca conciliar o planejamento com as funções de governo, dando ênfase às ações que se busca realizar.</w:t>
      </w:r>
    </w:p>
    <w:p w14:paraId="02F96682" w14:textId="4CB694CB" w:rsidR="00EA0B32" w:rsidRPr="00F05EF7" w:rsidRDefault="00EA0B32"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O orçamento público, independente do modelo utilizado, é uma importante ferramenta de organização e avaliação da gestão pública, sendo um documento de política dos governos, essencial à administração financeira dos recursos públicos (SILVA, CARVALHO, MEDEIROS, 2009; ALMEIDA &amp; NEROSKY, 2006). Assim, o planejamento orçamentário no âmbito do setor público objetiva a correção de falhas e distorções</w:t>
      </w:r>
      <w:r w:rsidR="00227AAC" w:rsidRPr="00F05EF7">
        <w:rPr>
          <w:rFonts w:ascii="Times New Roman" w:eastAsia="Times New Roman" w:hAnsi="Times New Roman" w:cs="Times New Roman"/>
        </w:rPr>
        <w:t xml:space="preserve"> técnicas e </w:t>
      </w:r>
      <w:r w:rsidRPr="00F05EF7">
        <w:rPr>
          <w:rFonts w:ascii="Times New Roman" w:eastAsia="Times New Roman" w:hAnsi="Times New Roman" w:cs="Times New Roman"/>
        </w:rPr>
        <w:t xml:space="preserve">administrativas, </w:t>
      </w:r>
      <w:r w:rsidRPr="00F05EF7">
        <w:rPr>
          <w:rFonts w:ascii="Times New Roman" w:eastAsia="Times New Roman" w:hAnsi="Times New Roman" w:cs="Times New Roman"/>
        </w:rPr>
        <w:lastRenderedPageBreak/>
        <w:t>bem como possibilita alterar condições indesejáveis à população</w:t>
      </w:r>
      <w:r w:rsidR="00453BC7" w:rsidRPr="00F05EF7">
        <w:rPr>
          <w:rFonts w:ascii="Times New Roman" w:eastAsia="Times New Roman" w:hAnsi="Times New Roman" w:cs="Times New Roman"/>
        </w:rPr>
        <w:t xml:space="preserve"> e à economia</w:t>
      </w:r>
      <w:r w:rsidRPr="00F05EF7">
        <w:rPr>
          <w:rFonts w:ascii="Times New Roman" w:eastAsia="Times New Roman" w:hAnsi="Times New Roman" w:cs="Times New Roman"/>
        </w:rPr>
        <w:t>, removendo empecilhos institucionais e assegurando o alcance do cumprimento dos objetivos e metas que o governo estipulou num dado momento (COUTO et. al, 2018), razão pela qual a Constituição Federal de 1988, em seu artigo 165, aliou o orçamento ao planejamento, conectando o PPA, a LDO e a LOA.</w:t>
      </w:r>
    </w:p>
    <w:p w14:paraId="34DE4A44" w14:textId="5CE7E16E"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A Constituição Federal de 1988 trouxe o atual modelo de orçamento adotado no Brasil, ou seja, o sistema de planejamento orçamentário brasileiro é composto pelo PPA, pela LDO e LOA. O PPA, projetado para quatro anos, deve conter as metas, diretrizes e objetivos da </w:t>
      </w:r>
      <w:r w:rsidR="00F7582A">
        <w:rPr>
          <w:rFonts w:ascii="Times New Roman" w:eastAsia="Times New Roman" w:hAnsi="Times New Roman" w:cs="Times New Roman"/>
        </w:rPr>
        <w:t>Administração Pública</w:t>
      </w:r>
      <w:r w:rsidRPr="00F05EF7">
        <w:rPr>
          <w:rFonts w:ascii="Times New Roman" w:eastAsia="Times New Roman" w:hAnsi="Times New Roman" w:cs="Times New Roman"/>
        </w:rPr>
        <w:t>. A LDO deverá conter as metas e prioridades estipuladas no PPA, além de orientar a elaboração do orçamento efetivo (LOA), aplicável no exercício fiscal objeto da proposta. A LOA é o principal instrumento utilizado para a viabilização das políticas públicas de distribuição de renda dos entes governamentais (GIACOMONI, 2010).</w:t>
      </w:r>
    </w:p>
    <w:p w14:paraId="4ED3DFA8" w14:textId="77777777" w:rsidR="00EA0B32" w:rsidRPr="00F05EF7" w:rsidRDefault="00EA0B32" w:rsidP="00AD5592">
      <w:pPr>
        <w:widowControl w:val="0"/>
        <w:pBdr>
          <w:top w:val="nil"/>
          <w:left w:val="nil"/>
          <w:bottom w:val="nil"/>
          <w:right w:val="nil"/>
          <w:between w:val="nil"/>
        </w:pBdr>
        <w:jc w:val="both"/>
      </w:pPr>
    </w:p>
    <w:p w14:paraId="31380F6B" w14:textId="0F67CEC0" w:rsidR="00EA0B32" w:rsidRPr="00AC4D11" w:rsidRDefault="00AC4D11" w:rsidP="00AC4D11">
      <w:pPr>
        <w:pStyle w:val="Ttulo3"/>
        <w:ind w:firstLine="709"/>
        <w:rPr>
          <w:rFonts w:ascii="Times New Roman" w:eastAsia="Times New Roman" w:hAnsi="Times New Roman" w:cs="Times New Roman"/>
          <w:b w:val="0"/>
          <w:bCs/>
          <w:color w:val="auto"/>
        </w:rPr>
      </w:pPr>
      <w:r w:rsidRPr="00AC4D11">
        <w:rPr>
          <w:rFonts w:ascii="Times New Roman" w:eastAsia="Times New Roman" w:hAnsi="Times New Roman" w:cs="Times New Roman"/>
          <w:b w:val="0"/>
          <w:bCs/>
          <w:color w:val="auto"/>
        </w:rPr>
        <w:t>2.2 CRÉDITOS ADICIONAIS</w:t>
      </w:r>
    </w:p>
    <w:p w14:paraId="5EB3B28F" w14:textId="77777777" w:rsidR="00F9587A" w:rsidRPr="00F9587A" w:rsidRDefault="00F9587A" w:rsidP="00AD5592"/>
    <w:p w14:paraId="4EB4381D"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O instituto dos créditos adicionais é o único instrumento que permite ao gestor público realizar alterações na peça orçamentária, depois de aprovada, quando da execução orçamentária (GIACOMONI, 2010). Nesse sentido, os créditos adicionais apresentam-se como imprescindíveis para a realização de correções no planejamento orçamentário inicial, dada a possibilidade de existência de fatos novos que provocam o surgimento de novas necessidades, acarretando na reestruturação do planejamento prévio, com vistas à fiel execução dos programas de trabalho (FELGUEIRAS, 2007).</w:t>
      </w:r>
    </w:p>
    <w:p w14:paraId="72D98BDF" w14:textId="3D2DCB8A" w:rsidR="00EA0B32" w:rsidRDefault="00EA0B32" w:rsidP="00AD5592">
      <w:pPr>
        <w:widowControl w:val="0"/>
        <w:pBdr>
          <w:top w:val="nil"/>
          <w:left w:val="nil"/>
          <w:bottom w:val="nil"/>
          <w:right w:val="nil"/>
          <w:between w:val="nil"/>
        </w:pBdr>
        <w:ind w:firstLine="708"/>
        <w:jc w:val="both"/>
        <w:rPr>
          <w:rFonts w:ascii="Times New Roman" w:eastAsia="Times New Roman" w:hAnsi="Times New Roman" w:cs="Times New Roman"/>
        </w:rPr>
      </w:pPr>
      <w:r w:rsidRPr="00F05EF7">
        <w:rPr>
          <w:rFonts w:ascii="Times New Roman" w:eastAsia="Times New Roman" w:hAnsi="Times New Roman" w:cs="Times New Roman"/>
        </w:rPr>
        <w:t xml:space="preserve">Conforme o artigo 40 da Lei nº 4.320/1964 os créditos adicionais correspondem a autorizações de despesas não computadas ou insuficientemente dotadas no orçamento inicial. Os créditos adicionais são classificados pela legislação em três tipos: suplementares, </w:t>
      </w:r>
      <w:r w:rsidR="007B4655">
        <w:rPr>
          <w:rFonts w:ascii="Times New Roman" w:eastAsia="Times New Roman" w:hAnsi="Times New Roman" w:cs="Times New Roman"/>
        </w:rPr>
        <w:t xml:space="preserve">especiais e extraordinários. </w:t>
      </w:r>
      <w:r w:rsidR="007B4655" w:rsidRPr="006026C8">
        <w:rPr>
          <w:rFonts w:ascii="Times New Roman" w:eastAsia="Times New Roman" w:hAnsi="Times New Roman" w:cs="Times New Roman"/>
        </w:rPr>
        <w:t>O Q</w:t>
      </w:r>
      <w:r w:rsidRPr="006026C8">
        <w:rPr>
          <w:rFonts w:ascii="Times New Roman" w:eastAsia="Times New Roman" w:hAnsi="Times New Roman" w:cs="Times New Roman"/>
        </w:rPr>
        <w:t>uadro</w:t>
      </w:r>
      <w:r w:rsidRPr="00F05EF7">
        <w:rPr>
          <w:rFonts w:ascii="Times New Roman" w:eastAsia="Times New Roman" w:hAnsi="Times New Roman" w:cs="Times New Roman"/>
        </w:rPr>
        <w:t xml:space="preserve"> 1 demonstra as características de cada um desses tipos de créditos.</w:t>
      </w:r>
    </w:p>
    <w:p w14:paraId="5DEE7346" w14:textId="77777777" w:rsidR="00F9587A" w:rsidRPr="00F05EF7" w:rsidRDefault="00F9587A" w:rsidP="00AD5592">
      <w:pPr>
        <w:widowControl w:val="0"/>
        <w:pBdr>
          <w:top w:val="nil"/>
          <w:left w:val="nil"/>
          <w:bottom w:val="nil"/>
          <w:right w:val="nil"/>
          <w:between w:val="nil"/>
        </w:pBdr>
        <w:ind w:firstLine="708"/>
        <w:jc w:val="both"/>
        <w:rPr>
          <w:rFonts w:ascii="Times New Roman" w:eastAsia="Times New Roman" w:hAnsi="Times New Roman" w:cs="Times New Roman"/>
        </w:rPr>
      </w:pPr>
    </w:p>
    <w:p w14:paraId="1ED7D3F6" w14:textId="77777777" w:rsidR="00EA0B32" w:rsidRPr="00AC4D11" w:rsidRDefault="00EA0B32" w:rsidP="00AC4D11">
      <w:pPr>
        <w:pStyle w:val="Ttulo"/>
        <w:jc w:val="center"/>
        <w:rPr>
          <w:rFonts w:ascii="Times New Roman" w:eastAsia="Times New Roman" w:hAnsi="Times New Roman" w:cs="Times New Roman"/>
          <w:b/>
          <w:bCs/>
          <w:color w:val="auto"/>
        </w:rPr>
      </w:pPr>
      <w:bookmarkStart w:id="2" w:name="_35nkun2" w:colFirst="0" w:colLast="0"/>
      <w:bookmarkEnd w:id="2"/>
      <w:r w:rsidRPr="00AC4D11">
        <w:rPr>
          <w:rFonts w:ascii="Times New Roman" w:eastAsia="Times New Roman" w:hAnsi="Times New Roman" w:cs="Times New Roman"/>
          <w:b/>
          <w:bCs/>
          <w:color w:val="auto"/>
        </w:rPr>
        <w:t>Quadro 1 – Tipos e características dos créditos adicionais</w:t>
      </w:r>
    </w:p>
    <w:tbl>
      <w:tblPr>
        <w:tblStyle w:val="a2"/>
        <w:tblW w:w="8977"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3166"/>
        <w:gridCol w:w="2976"/>
        <w:gridCol w:w="2835"/>
      </w:tblGrid>
      <w:tr w:rsidR="00F05EF7" w:rsidRPr="00F05EF7" w14:paraId="0E356A6B" w14:textId="77777777" w:rsidTr="00B46652">
        <w:trPr>
          <w:trHeight w:val="160"/>
          <w:jc w:val="center"/>
        </w:trPr>
        <w:tc>
          <w:tcPr>
            <w:tcW w:w="3166" w:type="dxa"/>
            <w:tcBorders>
              <w:top w:val="single" w:sz="4" w:space="0" w:color="000001"/>
              <w:left w:val="single" w:sz="4" w:space="0" w:color="000001"/>
              <w:bottom w:val="single" w:sz="4" w:space="0" w:color="000001"/>
              <w:right w:val="single" w:sz="4" w:space="0" w:color="000001"/>
            </w:tcBorders>
            <w:shd w:val="clear" w:color="auto" w:fill="auto"/>
          </w:tcPr>
          <w:p w14:paraId="58EB5836"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Créditos suplementares</w:t>
            </w:r>
          </w:p>
        </w:tc>
        <w:tc>
          <w:tcPr>
            <w:tcW w:w="2976" w:type="dxa"/>
            <w:tcBorders>
              <w:top w:val="single" w:sz="4" w:space="0" w:color="000001"/>
              <w:left w:val="single" w:sz="4" w:space="0" w:color="000001"/>
              <w:bottom w:val="single" w:sz="4" w:space="0" w:color="000001"/>
              <w:right w:val="single" w:sz="4" w:space="0" w:color="000001"/>
            </w:tcBorders>
            <w:shd w:val="clear" w:color="auto" w:fill="auto"/>
          </w:tcPr>
          <w:p w14:paraId="57A3F345"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Créditos especiais</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47B88E3C"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Créditos extraordinários</w:t>
            </w:r>
          </w:p>
        </w:tc>
      </w:tr>
      <w:tr w:rsidR="00F05EF7" w:rsidRPr="00F05EF7" w14:paraId="73190CE4" w14:textId="77777777" w:rsidTr="00B46652">
        <w:trPr>
          <w:trHeight w:val="3262"/>
          <w:jc w:val="center"/>
        </w:trPr>
        <w:tc>
          <w:tcPr>
            <w:tcW w:w="3166" w:type="dxa"/>
            <w:tcBorders>
              <w:top w:val="single" w:sz="4" w:space="0" w:color="000001"/>
              <w:left w:val="single" w:sz="4" w:space="0" w:color="000001"/>
              <w:bottom w:val="single" w:sz="4" w:space="0" w:color="000001"/>
              <w:right w:val="single" w:sz="4" w:space="0" w:color="000001"/>
            </w:tcBorders>
            <w:shd w:val="clear" w:color="auto" w:fill="auto"/>
          </w:tcPr>
          <w:p w14:paraId="32403D73"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servem para reforço de dotações já existentes no orçamento em vigor;</w:t>
            </w:r>
          </w:p>
          <w:p w14:paraId="65822F8E"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p>
          <w:p w14:paraId="4E673F10"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xml:space="preserve">- vigoram até o término do exercício, ou seja, até 31 de dezembro, sem possibilidade de reabertura ou transposição para o exercício subsequente; </w:t>
            </w:r>
          </w:p>
        </w:tc>
        <w:tc>
          <w:tcPr>
            <w:tcW w:w="2976" w:type="dxa"/>
            <w:tcBorders>
              <w:top w:val="single" w:sz="4" w:space="0" w:color="000001"/>
              <w:left w:val="single" w:sz="4" w:space="0" w:color="000001"/>
              <w:bottom w:val="single" w:sz="4" w:space="0" w:color="000001"/>
              <w:right w:val="single" w:sz="4" w:space="0" w:color="000001"/>
            </w:tcBorders>
            <w:shd w:val="clear" w:color="auto" w:fill="auto"/>
          </w:tcPr>
          <w:p w14:paraId="69EB38E7"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destinados às despesas para as quais não há dotação orçamentária específica;</w:t>
            </w:r>
          </w:p>
          <w:p w14:paraId="7FF2EBED"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p>
          <w:p w14:paraId="2551E686"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autorizados para a cobertura de despesas eventuais ou essenciais.</w:t>
            </w:r>
          </w:p>
          <w:p w14:paraId="52056D3C"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p>
          <w:p w14:paraId="353C665F"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vigoram dentro do exercício financeiro em que forem abertos, salvo se o ato da autorização ocorrer nos últimos 4 (quatro) meses do exercício, hipótese em que poderão ser reabertos no exercício seguinte;</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6930209A"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estão relacionados a despesas urgentes e imprevistas, em caso de guerra, comoção intestina ou calamidade pública.</w:t>
            </w:r>
          </w:p>
          <w:p w14:paraId="765FA8D5"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p>
          <w:p w14:paraId="4EDCDB01"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vigoram dentro do exercício financeiro em que forem abertos, salvo se o ato da autorização ocorrer nos últimos 4 (quatro) meses do exercício, hipótese em que poderão ser reabertos no exercício seguinte;</w:t>
            </w:r>
          </w:p>
          <w:p w14:paraId="09CA974C"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p>
          <w:p w14:paraId="3C1B0199" w14:textId="77777777"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sz w:val="20"/>
                <w:szCs w:val="20"/>
              </w:rPr>
            </w:pPr>
          </w:p>
        </w:tc>
      </w:tr>
    </w:tbl>
    <w:p w14:paraId="23107D84" w14:textId="02F3FF39" w:rsidR="00EA0B32" w:rsidRDefault="00EA0B32" w:rsidP="00AC4D11">
      <w:pPr>
        <w:widowControl w:val="0"/>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Fonte: Autor com base em Angélico (1995)</w:t>
      </w:r>
      <w:r w:rsidR="00F9587A">
        <w:rPr>
          <w:rFonts w:ascii="Times New Roman" w:eastAsia="Times New Roman" w:hAnsi="Times New Roman" w:cs="Times New Roman"/>
          <w:sz w:val="20"/>
          <w:szCs w:val="20"/>
        </w:rPr>
        <w:t>.</w:t>
      </w:r>
    </w:p>
    <w:p w14:paraId="6592E4ED" w14:textId="77777777" w:rsidR="00F9587A" w:rsidRPr="00F05EF7" w:rsidRDefault="00F9587A" w:rsidP="00AD5592">
      <w:pPr>
        <w:widowControl w:val="0"/>
        <w:pBdr>
          <w:top w:val="nil"/>
          <w:left w:val="nil"/>
          <w:bottom w:val="nil"/>
          <w:right w:val="nil"/>
          <w:between w:val="nil"/>
        </w:pBdr>
        <w:spacing w:before="120" w:after="120"/>
        <w:jc w:val="both"/>
        <w:rPr>
          <w:rFonts w:ascii="Times New Roman" w:eastAsia="Times New Roman" w:hAnsi="Times New Roman" w:cs="Times New Roman"/>
          <w:sz w:val="20"/>
          <w:szCs w:val="20"/>
        </w:rPr>
      </w:pPr>
    </w:p>
    <w:p w14:paraId="4AC26DBB" w14:textId="104A7930" w:rsidR="00F9587A" w:rsidRDefault="00EA0B32"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Assim, pode-se observar, em</w:t>
      </w:r>
      <w:r w:rsidR="00DC538D" w:rsidRPr="00F05EF7">
        <w:rPr>
          <w:rFonts w:ascii="Times New Roman" w:eastAsia="Times New Roman" w:hAnsi="Times New Roman" w:cs="Times New Roman"/>
        </w:rPr>
        <w:t xml:space="preserve"> apertada</w:t>
      </w:r>
      <w:r w:rsidRPr="00F05EF7">
        <w:rPr>
          <w:rFonts w:ascii="Times New Roman" w:eastAsia="Times New Roman" w:hAnsi="Times New Roman" w:cs="Times New Roman"/>
        </w:rPr>
        <w:t xml:space="preserve"> síntese, que os créditos suplementares servem para reforçar dotações já existentes no orçamento inicial, ao passo que os especiais se destinam a despesas sem dotação orçamentária na peça orçamentária inicial, ou seja, não previstas. Os extraordinários, por sua vez, se destinam a cobertura de despesas urgentes e/ou imprevistas, tais como casos de guerra, comoção ou calamidade pública (ANGÉLICO, 1995). Salienta-se, ainda, que para a abertura de créditos adicionais é necessário que haja recursos para seu financiamento, os quais foram sintetizados no Quadro 2, elaborado a partir da Lei nº 4.320/1964.</w:t>
      </w:r>
    </w:p>
    <w:p w14:paraId="1417EAA0" w14:textId="77777777" w:rsidR="009A65E7" w:rsidRPr="00F05EF7" w:rsidRDefault="009A65E7" w:rsidP="00AD5592">
      <w:pPr>
        <w:widowControl w:val="0"/>
        <w:pBdr>
          <w:top w:val="nil"/>
          <w:left w:val="nil"/>
          <w:bottom w:val="nil"/>
          <w:right w:val="nil"/>
          <w:between w:val="nil"/>
        </w:pBdr>
        <w:jc w:val="both"/>
        <w:rPr>
          <w:rFonts w:ascii="Times New Roman" w:eastAsia="Times New Roman" w:hAnsi="Times New Roman" w:cs="Times New Roman"/>
        </w:rPr>
      </w:pPr>
    </w:p>
    <w:p w14:paraId="77BA5501" w14:textId="77777777" w:rsidR="00EA0B32" w:rsidRPr="00AC4D11" w:rsidRDefault="00EA0B32" w:rsidP="00AC4D11">
      <w:pPr>
        <w:pStyle w:val="Ttulo"/>
        <w:jc w:val="center"/>
        <w:rPr>
          <w:rFonts w:ascii="Times New Roman" w:eastAsia="Times New Roman" w:hAnsi="Times New Roman" w:cs="Times New Roman"/>
          <w:b/>
          <w:bCs/>
          <w:color w:val="auto"/>
        </w:rPr>
      </w:pPr>
      <w:bookmarkStart w:id="3" w:name="_1ksv4uv" w:colFirst="0" w:colLast="0"/>
      <w:bookmarkEnd w:id="3"/>
      <w:r w:rsidRPr="00AC4D11">
        <w:rPr>
          <w:rFonts w:ascii="Times New Roman" w:eastAsia="Times New Roman" w:hAnsi="Times New Roman" w:cs="Times New Roman"/>
          <w:b/>
          <w:bCs/>
          <w:color w:val="auto"/>
        </w:rPr>
        <w:t>Quadro 2 – Recursos disponíveis para abertura de créditos adicionais</w:t>
      </w:r>
    </w:p>
    <w:tbl>
      <w:tblPr>
        <w:tblStyle w:val="a3"/>
        <w:tblW w:w="9287"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110"/>
        <w:gridCol w:w="1574"/>
        <w:gridCol w:w="5603"/>
      </w:tblGrid>
      <w:tr w:rsidR="00F05EF7" w:rsidRPr="00F05EF7" w14:paraId="632FEFD3" w14:textId="77777777" w:rsidTr="00B46652">
        <w:trPr>
          <w:trHeight w:val="220"/>
          <w:jc w:val="center"/>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425BEC5E"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Tipo de recursos</w:t>
            </w:r>
          </w:p>
        </w:tc>
        <w:tc>
          <w:tcPr>
            <w:tcW w:w="1574" w:type="dxa"/>
            <w:tcBorders>
              <w:top w:val="single" w:sz="4" w:space="0" w:color="000001"/>
              <w:left w:val="single" w:sz="4" w:space="0" w:color="000001"/>
              <w:bottom w:val="single" w:sz="4" w:space="0" w:color="000001"/>
              <w:right w:val="single" w:sz="4" w:space="0" w:color="000001"/>
            </w:tcBorders>
            <w:shd w:val="clear" w:color="auto" w:fill="auto"/>
          </w:tcPr>
          <w:p w14:paraId="5B87A64B"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Previsão legal</w:t>
            </w:r>
          </w:p>
        </w:tc>
        <w:tc>
          <w:tcPr>
            <w:tcW w:w="5603" w:type="dxa"/>
            <w:tcBorders>
              <w:top w:val="single" w:sz="4" w:space="0" w:color="000001"/>
              <w:left w:val="single" w:sz="4" w:space="0" w:color="000001"/>
              <w:bottom w:val="single" w:sz="4" w:space="0" w:color="000001"/>
              <w:right w:val="single" w:sz="4" w:space="0" w:color="000001"/>
            </w:tcBorders>
            <w:shd w:val="clear" w:color="auto" w:fill="auto"/>
          </w:tcPr>
          <w:p w14:paraId="7E036468"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Definição</w:t>
            </w:r>
          </w:p>
        </w:tc>
      </w:tr>
      <w:tr w:rsidR="00F05EF7" w:rsidRPr="00F05EF7" w14:paraId="4764A86B" w14:textId="77777777" w:rsidTr="00B46652">
        <w:trPr>
          <w:trHeight w:val="740"/>
          <w:jc w:val="center"/>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107035"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6026C8">
              <w:rPr>
                <w:rFonts w:ascii="Times New Roman" w:eastAsia="Times New Roman" w:hAnsi="Times New Roman" w:cs="Times New Roman"/>
                <w:i/>
                <w:sz w:val="20"/>
                <w:szCs w:val="20"/>
              </w:rPr>
              <w:t>Superávit</w:t>
            </w:r>
            <w:r w:rsidRPr="00F05EF7">
              <w:rPr>
                <w:rFonts w:ascii="Times New Roman" w:eastAsia="Times New Roman" w:hAnsi="Times New Roman" w:cs="Times New Roman"/>
                <w:sz w:val="20"/>
                <w:szCs w:val="20"/>
              </w:rPr>
              <w:t xml:space="preserve"> financeiro</w:t>
            </w:r>
          </w:p>
        </w:tc>
        <w:tc>
          <w:tcPr>
            <w:tcW w:w="157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EAD7314"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Art. 43 da Lei n° 4.320/64</w:t>
            </w:r>
          </w:p>
        </w:tc>
        <w:tc>
          <w:tcPr>
            <w:tcW w:w="56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24873A"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F05EF7">
              <w:rPr>
                <w:rFonts w:ascii="Times New Roman" w:eastAsia="Times New Roman" w:hAnsi="Times New Roman" w:cs="Times New Roman"/>
                <w:sz w:val="20"/>
                <w:szCs w:val="20"/>
              </w:rPr>
              <w:t>Corresponde à diferença positiva entre o ativo e o passivo financeiro, apurado em balanço patrimonial do exercício anterior, conjugando-se os saldos dos créditos adicionais especiais e extraordinários transferidos e as operações de créditos a eles vinculados.</w:t>
            </w:r>
          </w:p>
        </w:tc>
      </w:tr>
      <w:tr w:rsidR="00F05EF7" w:rsidRPr="00F05EF7" w14:paraId="50933D23" w14:textId="77777777" w:rsidTr="00B46652">
        <w:trPr>
          <w:trHeight w:val="240"/>
          <w:jc w:val="center"/>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9DDD5F"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F05EF7">
              <w:rPr>
                <w:rFonts w:ascii="Times New Roman" w:eastAsia="Times New Roman" w:hAnsi="Times New Roman" w:cs="Times New Roman"/>
                <w:sz w:val="20"/>
                <w:szCs w:val="20"/>
              </w:rPr>
              <w:t>Excesso de arrecadação</w:t>
            </w:r>
          </w:p>
        </w:tc>
        <w:tc>
          <w:tcPr>
            <w:tcW w:w="157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24270CE" w14:textId="77777777" w:rsidR="00EA0B32" w:rsidRPr="00F05EF7" w:rsidRDefault="00EA0B32" w:rsidP="00AD5592">
            <w:pPr>
              <w:widowControl w:val="0"/>
              <w:pBdr>
                <w:top w:val="nil"/>
                <w:left w:val="nil"/>
                <w:bottom w:val="nil"/>
                <w:right w:val="nil"/>
                <w:between w:val="nil"/>
              </w:pBdr>
              <w:rPr>
                <w:rFonts w:ascii="Calibri" w:eastAsia="Calibri" w:hAnsi="Calibri" w:cs="Calibri"/>
              </w:rPr>
            </w:pPr>
          </w:p>
        </w:tc>
        <w:tc>
          <w:tcPr>
            <w:tcW w:w="56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EE933B"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F05EF7">
              <w:rPr>
                <w:rFonts w:ascii="Times New Roman" w:eastAsia="Times New Roman" w:hAnsi="Times New Roman" w:cs="Times New Roman"/>
                <w:sz w:val="20"/>
                <w:szCs w:val="20"/>
              </w:rPr>
              <w:t>Equivale ao saldo positivo das diferenças acumuladas, mês a mês, entre a arrecadação prevista e a realizada.</w:t>
            </w:r>
          </w:p>
        </w:tc>
      </w:tr>
      <w:tr w:rsidR="00F05EF7" w:rsidRPr="00F05EF7" w14:paraId="13598399" w14:textId="77777777" w:rsidTr="00B46652">
        <w:trPr>
          <w:trHeight w:val="480"/>
          <w:jc w:val="center"/>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9D478C"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F05EF7">
              <w:rPr>
                <w:rFonts w:ascii="Times New Roman" w:eastAsia="Times New Roman" w:hAnsi="Times New Roman" w:cs="Times New Roman"/>
                <w:sz w:val="20"/>
                <w:szCs w:val="20"/>
              </w:rPr>
              <w:t>Anulação de dotação</w:t>
            </w:r>
          </w:p>
        </w:tc>
        <w:tc>
          <w:tcPr>
            <w:tcW w:w="157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BCEABEA" w14:textId="77777777" w:rsidR="00EA0B32" w:rsidRPr="00F05EF7" w:rsidRDefault="00EA0B32" w:rsidP="00AD5592">
            <w:pPr>
              <w:widowControl w:val="0"/>
              <w:pBdr>
                <w:top w:val="nil"/>
                <w:left w:val="nil"/>
                <w:bottom w:val="nil"/>
                <w:right w:val="nil"/>
                <w:between w:val="nil"/>
              </w:pBdr>
              <w:rPr>
                <w:rFonts w:ascii="Calibri" w:eastAsia="Calibri" w:hAnsi="Calibri" w:cs="Calibri"/>
              </w:rPr>
            </w:pPr>
          </w:p>
        </w:tc>
        <w:tc>
          <w:tcPr>
            <w:tcW w:w="56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A5F29E"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F05EF7">
              <w:rPr>
                <w:rFonts w:ascii="Times New Roman" w:eastAsia="Times New Roman" w:hAnsi="Times New Roman" w:cs="Times New Roman"/>
                <w:sz w:val="20"/>
                <w:szCs w:val="20"/>
              </w:rPr>
              <w:t>Corresponde ao cancelamento total ou parcial de dotações consideradas excedentes, com o objetivo de adicioná-las àquelas consideradas insuficientes.</w:t>
            </w:r>
          </w:p>
        </w:tc>
      </w:tr>
      <w:tr w:rsidR="00F05EF7" w:rsidRPr="00F05EF7" w14:paraId="3EFD29A5" w14:textId="77777777" w:rsidTr="00B46652">
        <w:trPr>
          <w:trHeight w:val="480"/>
          <w:jc w:val="center"/>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1A4325"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Operações de créditos</w:t>
            </w:r>
          </w:p>
        </w:tc>
        <w:tc>
          <w:tcPr>
            <w:tcW w:w="157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68ED5FB" w14:textId="77777777" w:rsidR="00EA0B32" w:rsidRPr="00F05EF7" w:rsidRDefault="00EA0B32" w:rsidP="00AD5592">
            <w:pPr>
              <w:widowControl w:val="0"/>
              <w:pBdr>
                <w:top w:val="nil"/>
                <w:left w:val="nil"/>
                <w:bottom w:val="nil"/>
                <w:right w:val="nil"/>
                <w:between w:val="nil"/>
              </w:pBdr>
              <w:rPr>
                <w:rFonts w:ascii="Times New Roman" w:eastAsia="Times New Roman" w:hAnsi="Times New Roman" w:cs="Times New Roman"/>
                <w:sz w:val="20"/>
                <w:szCs w:val="20"/>
              </w:rPr>
            </w:pPr>
          </w:p>
        </w:tc>
        <w:tc>
          <w:tcPr>
            <w:tcW w:w="56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B3DB9E"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F05EF7">
              <w:rPr>
                <w:rFonts w:ascii="Times New Roman" w:eastAsia="Times New Roman" w:hAnsi="Times New Roman" w:cs="Times New Roman"/>
                <w:sz w:val="20"/>
                <w:szCs w:val="20"/>
              </w:rPr>
              <w:t>Compreende os empréstimos obtidos pelo Estado, podendo ser internas ou externas, sendo internas quando contraídas dentro do próprio País e externas quando contratadas fora deste.</w:t>
            </w:r>
          </w:p>
        </w:tc>
      </w:tr>
      <w:tr w:rsidR="00F05EF7" w:rsidRPr="00F05EF7" w14:paraId="3A58868D" w14:textId="77777777" w:rsidTr="00B46652">
        <w:trPr>
          <w:trHeight w:val="760"/>
          <w:jc w:val="center"/>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33727D" w14:textId="77777777" w:rsidR="00EA0B32" w:rsidRPr="00F05EF7" w:rsidRDefault="00EA0B32" w:rsidP="00AD5592">
            <w:pPr>
              <w:widowControl w:val="0"/>
              <w:pBdr>
                <w:top w:val="nil"/>
                <w:left w:val="nil"/>
                <w:bottom w:val="nil"/>
                <w:right w:val="nil"/>
                <w:between w:val="nil"/>
              </w:pBdr>
              <w:jc w:val="center"/>
              <w:rPr>
                <w:rFonts w:ascii="Calibri" w:eastAsia="Calibri" w:hAnsi="Calibri" w:cs="Calibri"/>
              </w:rPr>
            </w:pPr>
            <w:r w:rsidRPr="00F05EF7">
              <w:rPr>
                <w:rFonts w:ascii="Times New Roman" w:eastAsia="Times New Roman" w:hAnsi="Times New Roman" w:cs="Times New Roman"/>
                <w:sz w:val="20"/>
                <w:szCs w:val="20"/>
              </w:rPr>
              <w:t>Veto/ emenda/ rejeição/outros</w:t>
            </w:r>
          </w:p>
        </w:tc>
        <w:tc>
          <w:tcPr>
            <w:tcW w:w="15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BBED30"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Art. 40 a 46 da Lei n° 4.320/64</w:t>
            </w:r>
          </w:p>
        </w:tc>
        <w:tc>
          <w:tcPr>
            <w:tcW w:w="56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874B17" w14:textId="0C3F1E5F"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xml:space="preserve">Recursos que em decorrência de veto, emenda ou rejeição do projeto </w:t>
            </w:r>
            <w:r w:rsidRPr="006026C8">
              <w:rPr>
                <w:rFonts w:ascii="Times New Roman" w:eastAsia="Times New Roman" w:hAnsi="Times New Roman" w:cs="Times New Roman"/>
                <w:sz w:val="20"/>
                <w:szCs w:val="20"/>
              </w:rPr>
              <w:t xml:space="preserve">de </w:t>
            </w:r>
            <w:r w:rsidR="00585119" w:rsidRPr="006026C8">
              <w:rPr>
                <w:rFonts w:ascii="Times New Roman" w:eastAsia="Times New Roman" w:hAnsi="Times New Roman" w:cs="Times New Roman"/>
                <w:sz w:val="20"/>
                <w:szCs w:val="20"/>
              </w:rPr>
              <w:t>Lei Orçamentária</w:t>
            </w:r>
            <w:r w:rsidRPr="00F05EF7">
              <w:rPr>
                <w:rFonts w:ascii="Times New Roman" w:eastAsia="Times New Roman" w:hAnsi="Times New Roman" w:cs="Times New Roman"/>
                <w:sz w:val="20"/>
                <w:szCs w:val="20"/>
              </w:rPr>
              <w:t xml:space="preserve"> Anual, ficarem sem despesas correspondentes, utilizados com prévia e específica autorização legislativa.</w:t>
            </w:r>
          </w:p>
        </w:tc>
      </w:tr>
      <w:tr w:rsidR="00F05EF7" w:rsidRPr="00F05EF7" w14:paraId="76EDC782" w14:textId="77777777" w:rsidTr="00B46652">
        <w:trPr>
          <w:trHeight w:val="880"/>
          <w:jc w:val="center"/>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2E96DA"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Reserva de contingência</w:t>
            </w:r>
          </w:p>
        </w:tc>
        <w:tc>
          <w:tcPr>
            <w:tcW w:w="15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5E1BEA"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Art. 91 do Decreto Lei 200/1967</w:t>
            </w:r>
          </w:p>
        </w:tc>
        <w:tc>
          <w:tcPr>
            <w:tcW w:w="56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619714" w14:textId="77777777" w:rsidR="00EA0B32" w:rsidRPr="00F05EF7" w:rsidRDefault="00EA0B32"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Serve como fonte de cancelamento para a abertura de créditos adicionais. Encontra respaldo no Princípio da Flexibilidade.</w:t>
            </w:r>
          </w:p>
        </w:tc>
      </w:tr>
    </w:tbl>
    <w:p w14:paraId="2CD6C693" w14:textId="6F5CA537" w:rsidR="00EA0B32" w:rsidRDefault="00EA0B32" w:rsidP="009A65E7">
      <w:pPr>
        <w:widowControl w:val="0"/>
        <w:pBdr>
          <w:top w:val="nil"/>
          <w:left w:val="nil"/>
          <w:bottom w:val="nil"/>
          <w:right w:val="nil"/>
          <w:between w:val="nil"/>
        </w:pBd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Fonte: Elaborado com base na Lei nº 4.320/64 e no Decreto nº 200/1967</w:t>
      </w:r>
      <w:r w:rsidR="00F9587A">
        <w:rPr>
          <w:rFonts w:ascii="Times New Roman" w:eastAsia="Times New Roman" w:hAnsi="Times New Roman" w:cs="Times New Roman"/>
          <w:sz w:val="20"/>
          <w:szCs w:val="20"/>
        </w:rPr>
        <w:t>.</w:t>
      </w:r>
    </w:p>
    <w:p w14:paraId="503B2A63" w14:textId="77777777" w:rsidR="009A65E7" w:rsidRPr="00F05EF7" w:rsidRDefault="009A65E7" w:rsidP="009A65E7">
      <w:pPr>
        <w:widowControl w:val="0"/>
        <w:pBdr>
          <w:top w:val="nil"/>
          <w:left w:val="nil"/>
          <w:bottom w:val="nil"/>
          <w:right w:val="nil"/>
          <w:between w:val="nil"/>
        </w:pBdr>
        <w:rPr>
          <w:rFonts w:ascii="Times New Roman" w:eastAsia="Times New Roman" w:hAnsi="Times New Roman" w:cs="Times New Roman"/>
          <w:sz w:val="20"/>
          <w:szCs w:val="20"/>
        </w:rPr>
      </w:pPr>
    </w:p>
    <w:p w14:paraId="468CB04C" w14:textId="39C3A89B" w:rsidR="00EA0B32" w:rsidRPr="00F05EF7" w:rsidRDefault="00EA0B32"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Logo, percebe-se que para a abertura de créditos adicionais é necessário que seja indicado o recurso que será utilizado para essa movimentação, sendo os mais comuns o </w:t>
      </w:r>
      <w:r w:rsidR="006026C8" w:rsidRPr="006026C8">
        <w:rPr>
          <w:rFonts w:ascii="Times New Roman" w:eastAsia="Times New Roman" w:hAnsi="Times New Roman" w:cs="Times New Roman"/>
        </w:rPr>
        <w:t>superávit</w:t>
      </w:r>
      <w:r w:rsidRPr="00F05EF7">
        <w:rPr>
          <w:rFonts w:ascii="Times New Roman" w:eastAsia="Times New Roman" w:hAnsi="Times New Roman" w:cs="Times New Roman"/>
        </w:rPr>
        <w:t xml:space="preserve"> financeiro, o excesso de arrecadação e a anulação de dotação. Salienta-se que as</w:t>
      </w:r>
      <w:r w:rsidR="00F52AC1">
        <w:rPr>
          <w:rFonts w:ascii="Times New Roman" w:eastAsia="Times New Roman" w:hAnsi="Times New Roman" w:cs="Times New Roman"/>
        </w:rPr>
        <w:t xml:space="preserve"> alterações orçamentárias que </w:t>
      </w:r>
      <w:r w:rsidR="00F52AC1" w:rsidRPr="006026C8">
        <w:rPr>
          <w:rFonts w:ascii="Times New Roman" w:eastAsia="Times New Roman" w:hAnsi="Times New Roman" w:cs="Times New Roman"/>
        </w:rPr>
        <w:t>tê</w:t>
      </w:r>
      <w:r w:rsidRPr="006026C8">
        <w:rPr>
          <w:rFonts w:ascii="Times New Roman" w:eastAsia="Times New Roman" w:hAnsi="Times New Roman" w:cs="Times New Roman"/>
        </w:rPr>
        <w:t>m</w:t>
      </w:r>
      <w:r w:rsidRPr="00F05EF7">
        <w:rPr>
          <w:rFonts w:ascii="Times New Roman" w:eastAsia="Times New Roman" w:hAnsi="Times New Roman" w:cs="Times New Roman"/>
        </w:rPr>
        <w:t xml:space="preserve"> como fonte de recursos a anulação de dotação representam uma mera realocação de recursos dentro do orçamento, destinadas a correções nas imprecisões contidas na própria peça orçamentária.</w:t>
      </w:r>
    </w:p>
    <w:p w14:paraId="44983AFA" w14:textId="011C636F" w:rsidR="00EA0B32" w:rsidRPr="00F05EF7" w:rsidRDefault="00EA0B32" w:rsidP="00AD5592">
      <w:pPr>
        <w:widowControl w:val="0"/>
        <w:pBdr>
          <w:top w:val="nil"/>
          <w:left w:val="nil"/>
          <w:bottom w:val="nil"/>
          <w:right w:val="nil"/>
          <w:between w:val="nil"/>
        </w:pBdr>
        <w:jc w:val="both"/>
      </w:pPr>
      <w:r w:rsidRPr="00F05EF7">
        <w:rPr>
          <w:rFonts w:ascii="Times New Roman" w:eastAsia="Times New Roman" w:hAnsi="Times New Roman" w:cs="Times New Roman"/>
        </w:rPr>
        <w:tab/>
        <w:t xml:space="preserve">A imprecisão no orçamento afeta a credibilidade da informação perante os órgãos de controle e do próprio governo, que passa a não utilizá-la na gestão (AZEVEDO, 2013). Assim, a avaliação da gestão pública se mostra de </w:t>
      </w:r>
      <w:r w:rsidR="00C92FFE" w:rsidRPr="00F05EF7">
        <w:rPr>
          <w:rFonts w:ascii="Times New Roman" w:eastAsia="Times New Roman" w:hAnsi="Times New Roman" w:cs="Times New Roman"/>
        </w:rPr>
        <w:t>grande</w:t>
      </w:r>
      <w:r w:rsidRPr="00F05EF7">
        <w:rPr>
          <w:rFonts w:ascii="Times New Roman" w:eastAsia="Times New Roman" w:hAnsi="Times New Roman" w:cs="Times New Roman"/>
        </w:rPr>
        <w:t xml:space="preserve"> </w:t>
      </w:r>
      <w:r w:rsidR="00C92FFE" w:rsidRPr="00F05EF7">
        <w:rPr>
          <w:rFonts w:ascii="Times New Roman" w:eastAsia="Times New Roman" w:hAnsi="Times New Roman" w:cs="Times New Roman"/>
        </w:rPr>
        <w:t>relevância</w:t>
      </w:r>
      <w:r w:rsidRPr="00F05EF7">
        <w:rPr>
          <w:rFonts w:ascii="Times New Roman" w:eastAsia="Times New Roman" w:hAnsi="Times New Roman" w:cs="Times New Roman"/>
        </w:rPr>
        <w:t>, visto que é por meio dela que se pode analisar os dados e propor melhorias na alocação dos gastos públicos.</w:t>
      </w:r>
    </w:p>
    <w:p w14:paraId="3ABF29D0" w14:textId="644B6EB3" w:rsidR="00821527" w:rsidRPr="00F05EF7" w:rsidRDefault="00821527" w:rsidP="00AD5592">
      <w:pPr>
        <w:widowControl w:val="0"/>
        <w:pBdr>
          <w:top w:val="nil"/>
          <w:left w:val="nil"/>
          <w:bottom w:val="nil"/>
          <w:right w:val="nil"/>
          <w:between w:val="nil"/>
        </w:pBdr>
        <w:ind w:firstLine="709"/>
        <w:jc w:val="center"/>
      </w:pPr>
      <w:bookmarkStart w:id="4" w:name="_tyjcwt" w:colFirst="0" w:colLast="0"/>
      <w:bookmarkEnd w:id="4"/>
    </w:p>
    <w:p w14:paraId="0941485F" w14:textId="1BCEF9F9" w:rsidR="00821527" w:rsidRPr="00AC4D11" w:rsidRDefault="00AC4D11" w:rsidP="00AC4D11">
      <w:pPr>
        <w:pStyle w:val="Ttulo1"/>
        <w:ind w:firstLine="709"/>
        <w:jc w:val="both"/>
        <w:rPr>
          <w:rFonts w:ascii="Times New Roman" w:eastAsia="Times New Roman" w:hAnsi="Times New Roman" w:cs="Times New Roman"/>
          <w:b w:val="0"/>
          <w:bCs/>
        </w:rPr>
      </w:pPr>
      <w:bookmarkStart w:id="5" w:name="_3dy6vkm" w:colFirst="0" w:colLast="0"/>
      <w:bookmarkStart w:id="6" w:name="_Toc17376022"/>
      <w:bookmarkEnd w:id="5"/>
      <w:r w:rsidRPr="00AC4D11">
        <w:rPr>
          <w:rFonts w:ascii="Times New Roman" w:eastAsia="Times New Roman" w:hAnsi="Times New Roman" w:cs="Times New Roman"/>
          <w:b w:val="0"/>
          <w:bCs/>
        </w:rPr>
        <w:t>2.3 GOVERNANÇA PÚBLICA</w:t>
      </w:r>
      <w:bookmarkEnd w:id="6"/>
    </w:p>
    <w:p w14:paraId="4709D87D" w14:textId="77777777" w:rsidR="00F9587A" w:rsidRPr="00F9587A" w:rsidRDefault="00F9587A" w:rsidP="00AD5592"/>
    <w:p w14:paraId="21FEB529" w14:textId="5187152E" w:rsidR="00821527" w:rsidRPr="00F05EF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ab/>
      </w:r>
      <w:proofErr w:type="spellStart"/>
      <w:r w:rsidRPr="00F05EF7">
        <w:rPr>
          <w:rFonts w:ascii="Times New Roman" w:eastAsia="Times New Roman" w:hAnsi="Times New Roman" w:cs="Times New Roman"/>
        </w:rPr>
        <w:t>Scupola</w:t>
      </w:r>
      <w:proofErr w:type="spellEnd"/>
      <w:r w:rsidRPr="00F05EF7">
        <w:rPr>
          <w:rFonts w:ascii="Times New Roman" w:eastAsia="Times New Roman" w:hAnsi="Times New Roman" w:cs="Times New Roman"/>
        </w:rPr>
        <w:t xml:space="preserve"> e </w:t>
      </w:r>
      <w:proofErr w:type="spellStart"/>
      <w:r w:rsidRPr="00F05EF7">
        <w:rPr>
          <w:rFonts w:ascii="Times New Roman" w:eastAsia="Times New Roman" w:hAnsi="Times New Roman" w:cs="Times New Roman"/>
        </w:rPr>
        <w:t>Zanfei</w:t>
      </w:r>
      <w:proofErr w:type="spellEnd"/>
      <w:r w:rsidRPr="00F05EF7">
        <w:rPr>
          <w:rFonts w:ascii="Times New Roman" w:eastAsia="Times New Roman" w:hAnsi="Times New Roman" w:cs="Times New Roman"/>
        </w:rPr>
        <w:t xml:space="preserve"> (</w:t>
      </w:r>
      <w:r w:rsidR="000F2AFB" w:rsidRPr="00F05EF7">
        <w:rPr>
          <w:rFonts w:ascii="Times New Roman" w:eastAsia="Times New Roman" w:hAnsi="Times New Roman" w:cs="Times New Roman"/>
        </w:rPr>
        <w:t>2016</w:t>
      </w:r>
      <w:r w:rsidRPr="00F05EF7">
        <w:rPr>
          <w:rFonts w:ascii="Times New Roman" w:eastAsia="Times New Roman" w:hAnsi="Times New Roman" w:cs="Times New Roman"/>
        </w:rPr>
        <w:t xml:space="preserve">) advogam que não há uma definição </w:t>
      </w:r>
      <w:r w:rsidR="00F72E36" w:rsidRPr="00F05EF7">
        <w:rPr>
          <w:rFonts w:ascii="Times New Roman" w:eastAsia="Times New Roman" w:hAnsi="Times New Roman" w:cs="Times New Roman"/>
        </w:rPr>
        <w:t>uniforme</w:t>
      </w:r>
      <w:r w:rsidRPr="00F05EF7">
        <w:rPr>
          <w:rFonts w:ascii="Times New Roman" w:eastAsia="Times New Roman" w:hAnsi="Times New Roman" w:cs="Times New Roman"/>
        </w:rPr>
        <w:t xml:space="preserve"> do termo governança pública</w:t>
      </w:r>
      <w:r w:rsidR="0044211A" w:rsidRPr="00F05EF7">
        <w:rPr>
          <w:rFonts w:ascii="Times New Roman" w:eastAsia="Times New Roman" w:hAnsi="Times New Roman" w:cs="Times New Roman"/>
        </w:rPr>
        <w:t xml:space="preserve"> </w:t>
      </w:r>
      <w:r w:rsidRPr="00F05EF7">
        <w:rPr>
          <w:rFonts w:ascii="Times New Roman" w:eastAsia="Times New Roman" w:hAnsi="Times New Roman" w:cs="Times New Roman"/>
        </w:rPr>
        <w:t xml:space="preserve">em vista dos </w:t>
      </w:r>
      <w:r w:rsidR="0044211A" w:rsidRPr="00F05EF7">
        <w:rPr>
          <w:rFonts w:ascii="Times New Roman" w:eastAsia="Times New Roman" w:hAnsi="Times New Roman" w:cs="Times New Roman"/>
        </w:rPr>
        <w:t>conjuntos</w:t>
      </w:r>
      <w:r w:rsidRPr="00F05EF7">
        <w:rPr>
          <w:rFonts w:ascii="Times New Roman" w:eastAsia="Times New Roman" w:hAnsi="Times New Roman" w:cs="Times New Roman"/>
        </w:rPr>
        <w:t xml:space="preserve"> de arranjos estruturais da </w:t>
      </w:r>
      <w:r w:rsidR="00F7582A" w:rsidRPr="006026C8">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Para </w:t>
      </w:r>
      <w:proofErr w:type="spellStart"/>
      <w:r w:rsidRPr="00F05EF7">
        <w:rPr>
          <w:rFonts w:ascii="Times New Roman" w:eastAsia="Times New Roman" w:hAnsi="Times New Roman" w:cs="Times New Roman"/>
        </w:rPr>
        <w:t>Ma</w:t>
      </w:r>
      <w:proofErr w:type="spellEnd"/>
      <w:r w:rsidRPr="00F05EF7">
        <w:rPr>
          <w:rFonts w:ascii="Times New Roman" w:eastAsia="Times New Roman" w:hAnsi="Times New Roman" w:cs="Times New Roman"/>
        </w:rPr>
        <w:t xml:space="preserve"> et al. (2017) </w:t>
      </w:r>
      <w:r w:rsidR="0044211A" w:rsidRPr="00F05EF7">
        <w:rPr>
          <w:rFonts w:ascii="Times New Roman" w:eastAsia="Times New Roman" w:hAnsi="Times New Roman" w:cs="Times New Roman"/>
        </w:rPr>
        <w:t>g</w:t>
      </w:r>
      <w:r w:rsidRPr="00F05EF7">
        <w:rPr>
          <w:rFonts w:ascii="Times New Roman" w:eastAsia="Times New Roman" w:hAnsi="Times New Roman" w:cs="Times New Roman"/>
        </w:rPr>
        <w:t xml:space="preserve">overnança </w:t>
      </w:r>
      <w:r w:rsidR="0044211A" w:rsidRPr="00F05EF7">
        <w:rPr>
          <w:rFonts w:ascii="Times New Roman" w:eastAsia="Times New Roman" w:hAnsi="Times New Roman" w:cs="Times New Roman"/>
        </w:rPr>
        <w:t xml:space="preserve">pública </w:t>
      </w:r>
      <w:r w:rsidRPr="00F05EF7">
        <w:rPr>
          <w:rFonts w:ascii="Times New Roman" w:eastAsia="Times New Roman" w:hAnsi="Times New Roman" w:cs="Times New Roman"/>
        </w:rPr>
        <w:t xml:space="preserve">refere-se aos arranjos formais e informais que determinam como as decisões públicas são tomadas e como as ações públicas são realizadas, na perspectiva de manter os valores constitucionais de um país em face de problemas, atores e ambientes em constante </w:t>
      </w:r>
      <w:r w:rsidR="00901467" w:rsidRPr="00F05EF7">
        <w:rPr>
          <w:rFonts w:ascii="Times New Roman" w:eastAsia="Times New Roman" w:hAnsi="Times New Roman" w:cs="Times New Roman"/>
        </w:rPr>
        <w:t>mudança. Em outras palavras, a governança pública</w:t>
      </w:r>
      <w:r w:rsidRPr="00F05EF7">
        <w:rPr>
          <w:rFonts w:ascii="Times New Roman" w:eastAsia="Times New Roman" w:hAnsi="Times New Roman" w:cs="Times New Roman"/>
        </w:rPr>
        <w:t xml:space="preserve"> pode ser entendida como as decisões tomadas e implementadas para promover os objetivos da sociedade (GUARNACCI, 2012; GAJENDRAN; OLORUNTOBA, 2017).</w:t>
      </w:r>
    </w:p>
    <w:p w14:paraId="645B6CFB" w14:textId="66674DBB" w:rsidR="00901467" w:rsidRPr="00F05EF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bookmarkStart w:id="7" w:name="_2s8eyo1" w:colFirst="0" w:colLast="0"/>
      <w:bookmarkEnd w:id="7"/>
      <w:r w:rsidRPr="00F05EF7">
        <w:rPr>
          <w:rFonts w:ascii="Times New Roman" w:eastAsia="Times New Roman" w:hAnsi="Times New Roman" w:cs="Times New Roman"/>
        </w:rPr>
        <w:t xml:space="preserve">De acordo com </w:t>
      </w:r>
      <w:proofErr w:type="spellStart"/>
      <w:r w:rsidRPr="00F05EF7">
        <w:rPr>
          <w:rFonts w:ascii="Times New Roman" w:eastAsia="Times New Roman" w:hAnsi="Times New Roman" w:cs="Times New Roman"/>
        </w:rPr>
        <w:t>Bekker</w:t>
      </w:r>
      <w:proofErr w:type="spellEnd"/>
      <w:r w:rsidRPr="00F05EF7">
        <w:rPr>
          <w:rFonts w:ascii="Times New Roman" w:eastAsia="Times New Roman" w:hAnsi="Times New Roman" w:cs="Times New Roman"/>
        </w:rPr>
        <w:t xml:space="preserve">, </w:t>
      </w:r>
      <w:proofErr w:type="spellStart"/>
      <w:r w:rsidRPr="00F05EF7">
        <w:rPr>
          <w:rFonts w:ascii="Times New Roman" w:eastAsia="Times New Roman" w:hAnsi="Times New Roman" w:cs="Times New Roman"/>
        </w:rPr>
        <w:t>Edelenbos</w:t>
      </w:r>
      <w:proofErr w:type="spellEnd"/>
      <w:r w:rsidRPr="00F05EF7">
        <w:rPr>
          <w:rFonts w:ascii="Times New Roman" w:eastAsia="Times New Roman" w:hAnsi="Times New Roman" w:cs="Times New Roman"/>
        </w:rPr>
        <w:t xml:space="preserve"> e </w:t>
      </w:r>
      <w:proofErr w:type="spellStart"/>
      <w:r w:rsidRPr="00F05EF7">
        <w:rPr>
          <w:rFonts w:ascii="Times New Roman" w:eastAsia="Times New Roman" w:hAnsi="Times New Roman" w:cs="Times New Roman"/>
        </w:rPr>
        <w:t>Steijn</w:t>
      </w:r>
      <w:proofErr w:type="spellEnd"/>
      <w:r w:rsidRPr="00F05EF7">
        <w:rPr>
          <w:rFonts w:ascii="Times New Roman" w:eastAsia="Times New Roman" w:hAnsi="Times New Roman" w:cs="Times New Roman"/>
        </w:rPr>
        <w:t xml:space="preserve"> (2014) e </w:t>
      </w:r>
      <w:proofErr w:type="spellStart"/>
      <w:r w:rsidRPr="00F05EF7">
        <w:rPr>
          <w:rFonts w:ascii="Times New Roman" w:eastAsia="Times New Roman" w:hAnsi="Times New Roman" w:cs="Times New Roman"/>
        </w:rPr>
        <w:t>Mcloughlin</w:t>
      </w:r>
      <w:proofErr w:type="spellEnd"/>
      <w:r w:rsidRPr="00F05EF7">
        <w:rPr>
          <w:rFonts w:ascii="Times New Roman" w:eastAsia="Times New Roman" w:hAnsi="Times New Roman" w:cs="Times New Roman"/>
        </w:rPr>
        <w:t xml:space="preserve"> (2015), para melhorar o pr</w:t>
      </w:r>
      <w:r w:rsidR="00F72E36" w:rsidRPr="00F05EF7">
        <w:rPr>
          <w:rFonts w:ascii="Times New Roman" w:eastAsia="Times New Roman" w:hAnsi="Times New Roman" w:cs="Times New Roman"/>
        </w:rPr>
        <w:t>ocesso de prestação de serviços</w:t>
      </w:r>
      <w:r w:rsidRPr="00F05EF7">
        <w:rPr>
          <w:rFonts w:ascii="Times New Roman" w:eastAsia="Times New Roman" w:hAnsi="Times New Roman" w:cs="Times New Roman"/>
        </w:rPr>
        <w:t xml:space="preserve"> precisamos criar mecanismos de governança mais eficientes e eficazes (MANDELI, 2016). Pesquisas indicam que o aprimoramento dos mecanismos de governança e a prestação de contas pode melhorar os resultados de desempenho no setor público (AUCION, 1</w:t>
      </w:r>
      <w:r w:rsidR="00901467" w:rsidRPr="00F05EF7">
        <w:rPr>
          <w:rFonts w:ascii="Times New Roman" w:eastAsia="Times New Roman" w:hAnsi="Times New Roman" w:cs="Times New Roman"/>
        </w:rPr>
        <w:t>990; POLLITT; BOUCKAERT, 2011).</w:t>
      </w:r>
    </w:p>
    <w:p w14:paraId="00797C2A" w14:textId="0E658509" w:rsidR="00F17F9E" w:rsidRPr="00F05EF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Dessa forma, uma boa </w:t>
      </w:r>
      <w:r w:rsidR="00F9587A">
        <w:rPr>
          <w:rFonts w:ascii="Times New Roman" w:eastAsia="Times New Roman" w:hAnsi="Times New Roman" w:cs="Times New Roman"/>
        </w:rPr>
        <w:t>governança p</w:t>
      </w:r>
      <w:r w:rsidRPr="00F05EF7">
        <w:rPr>
          <w:rFonts w:ascii="Times New Roman" w:eastAsia="Times New Roman" w:hAnsi="Times New Roman" w:cs="Times New Roman"/>
        </w:rPr>
        <w:t xml:space="preserve">ública previne a corrupção e a volatilidade discricionária dos gastos públicos (ALBUQUERQUE, 2011; FONCHAMNYO; SAMA, 2016), </w:t>
      </w:r>
      <w:r w:rsidRPr="00F05EF7">
        <w:rPr>
          <w:rFonts w:ascii="Times New Roman" w:eastAsia="Times New Roman" w:hAnsi="Times New Roman" w:cs="Times New Roman"/>
        </w:rPr>
        <w:lastRenderedPageBreak/>
        <w:t>além de estabilizar a política fiscal (SENARATH YAPA, 2014). Portanto, existem ligações diretas entre boa governança pública e melhorias nos incentivos dos agentes econômicos na alocação de re</w:t>
      </w:r>
      <w:r w:rsidR="007A4DB7" w:rsidRPr="00F05EF7">
        <w:rPr>
          <w:rFonts w:ascii="Times New Roman" w:eastAsia="Times New Roman" w:hAnsi="Times New Roman" w:cs="Times New Roman"/>
        </w:rPr>
        <w:t>cursos públicos (SU; BUI, 2017)</w:t>
      </w:r>
      <w:r w:rsidRPr="00F05EF7">
        <w:rPr>
          <w:rFonts w:ascii="Times New Roman" w:eastAsia="Times New Roman" w:hAnsi="Times New Roman" w:cs="Times New Roman"/>
        </w:rPr>
        <w:t>.</w:t>
      </w:r>
    </w:p>
    <w:p w14:paraId="11E28F4D" w14:textId="26D093A8" w:rsidR="00821527" w:rsidRPr="00F05EF7" w:rsidRDefault="00F17F9E"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A </w:t>
      </w:r>
      <w:r w:rsidR="0010504B" w:rsidRPr="00F05EF7">
        <w:rPr>
          <w:rFonts w:ascii="Times New Roman" w:eastAsia="Times New Roman" w:hAnsi="Times New Roman" w:cs="Times New Roman"/>
        </w:rPr>
        <w:t>governança democrática</w:t>
      </w:r>
      <w:r w:rsidRPr="00F05EF7">
        <w:rPr>
          <w:rFonts w:ascii="Times New Roman" w:eastAsia="Times New Roman" w:hAnsi="Times New Roman" w:cs="Times New Roman"/>
        </w:rPr>
        <w:t>, por sua vez,</w:t>
      </w:r>
      <w:r w:rsidR="0010504B" w:rsidRPr="00F05EF7">
        <w:rPr>
          <w:rFonts w:ascii="Times New Roman" w:eastAsia="Times New Roman" w:hAnsi="Times New Roman" w:cs="Times New Roman"/>
        </w:rPr>
        <w:t xml:space="preserve"> é considerada um modelo de administração aberto ao público, que dirige serviços e políticas públicas ao cidadão, indo mais além do gerencial e da qualidade do serviço</w:t>
      </w:r>
      <w:r w:rsidR="00B94377" w:rsidRPr="00F05EF7">
        <w:rPr>
          <w:rFonts w:ascii="Times New Roman" w:eastAsia="Times New Roman" w:hAnsi="Times New Roman" w:cs="Times New Roman"/>
        </w:rPr>
        <w:t xml:space="preserve"> (FILGUEIRAS, 2018), p</w:t>
      </w:r>
      <w:r w:rsidR="0010504B" w:rsidRPr="00F05EF7">
        <w:rPr>
          <w:rFonts w:ascii="Times New Roman" w:eastAsia="Times New Roman" w:hAnsi="Times New Roman" w:cs="Times New Roman"/>
        </w:rPr>
        <w:t>or esta razão, o conceito de governança pública envolve vários aspectos da gestão, sobretudo transparência, prestação de contas, ética, integridade, legalidade e part</w:t>
      </w:r>
      <w:r w:rsidR="00D83461" w:rsidRPr="00F05EF7">
        <w:rPr>
          <w:rFonts w:ascii="Times New Roman" w:eastAsia="Times New Roman" w:hAnsi="Times New Roman" w:cs="Times New Roman"/>
        </w:rPr>
        <w:t>icipação social (OLIVEIRA; PISA,</w:t>
      </w:r>
      <w:r w:rsidR="0010504B" w:rsidRPr="00F05EF7">
        <w:rPr>
          <w:rFonts w:ascii="Times New Roman" w:eastAsia="Times New Roman" w:hAnsi="Times New Roman" w:cs="Times New Roman"/>
        </w:rPr>
        <w:t xml:space="preserve"> 2015).</w:t>
      </w:r>
    </w:p>
    <w:p w14:paraId="02342239" w14:textId="77777777" w:rsidR="00821527" w:rsidRPr="00F05EF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ab/>
        <w:t>A Constituição Federal (CF) de 1988 consolidou o processo de governança pública no país por meio da democracia, que pauta-se em três princípios fundamentais: a vontade popular, emanada do povo, o dever dos governantes em prestar contas de seus atos à sociedade e o regramento da ação do Estado que deve agir limitando seu campo de atuação, de forma a garantir a existência de direitos básicos aos cidadãos (LOUREIRO; ABRUCIO; PACHECO, 2010). Logo, a governança pública opera de maneira a facilitar o alcance dos objetivos públicos, envolvendo os cidadãos na construção de políticas públicas, valendo-se de mecanismos democráticos deliberativos e de rede de políticas públicas (SECCHI, 2009).</w:t>
      </w:r>
    </w:p>
    <w:p w14:paraId="11C122F6" w14:textId="77777777" w:rsidR="00821527" w:rsidRPr="00F05EF7" w:rsidRDefault="00821527" w:rsidP="00AD5592">
      <w:pPr>
        <w:widowControl w:val="0"/>
        <w:pBdr>
          <w:top w:val="nil"/>
          <w:left w:val="nil"/>
          <w:bottom w:val="nil"/>
          <w:right w:val="nil"/>
          <w:between w:val="nil"/>
        </w:pBdr>
      </w:pPr>
    </w:p>
    <w:p w14:paraId="264BC243" w14:textId="29D19CB1" w:rsidR="00821527" w:rsidRPr="00AC4D11" w:rsidRDefault="00AC4D11" w:rsidP="00AC4D11">
      <w:pPr>
        <w:pStyle w:val="Ttulo2"/>
        <w:ind w:firstLine="709"/>
        <w:rPr>
          <w:rFonts w:ascii="Times New Roman" w:eastAsia="Times New Roman" w:hAnsi="Times New Roman" w:cs="Times New Roman"/>
          <w:bCs/>
        </w:rPr>
      </w:pPr>
      <w:bookmarkStart w:id="8" w:name="_Toc17376027"/>
      <w:r w:rsidRPr="00AC4D11">
        <w:rPr>
          <w:rFonts w:ascii="Times New Roman" w:eastAsia="Times New Roman" w:hAnsi="Times New Roman" w:cs="Times New Roman"/>
          <w:bCs/>
        </w:rPr>
        <w:t>2.4 AVALIAÇÃO E CONTROLE DA GESTÃO PÚBLICA</w:t>
      </w:r>
      <w:bookmarkEnd w:id="8"/>
    </w:p>
    <w:p w14:paraId="4C819289" w14:textId="77777777" w:rsidR="00F9587A" w:rsidRPr="00F9587A" w:rsidRDefault="00F9587A" w:rsidP="00AD5592"/>
    <w:p w14:paraId="142BB0D2" w14:textId="47323FFB" w:rsidR="00821527" w:rsidRPr="006026C8"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A avaliação da gestão pública tem um papel importante no âmbito da </w:t>
      </w:r>
      <w:r w:rsidR="00F7582A" w:rsidRPr="006026C8">
        <w:rPr>
          <w:rFonts w:ascii="Times New Roman" w:eastAsia="Times New Roman" w:hAnsi="Times New Roman" w:cs="Times New Roman"/>
        </w:rPr>
        <w:t>Administração Pública</w:t>
      </w:r>
      <w:r w:rsidRPr="006026C8">
        <w:rPr>
          <w:rFonts w:ascii="Times New Roman" w:eastAsia="Times New Roman" w:hAnsi="Times New Roman" w:cs="Times New Roman"/>
        </w:rPr>
        <w:t xml:space="preserve">, pois possibilita ao gestor mensurar o cumprimento dos seus planos de governo servindo como base para fiscalização pelos órgãos de controle e pela sociedade (CALIXTO; VELASQUEZ, 2005). Para Costa e </w:t>
      </w:r>
      <w:proofErr w:type="spellStart"/>
      <w:r w:rsidRPr="006026C8">
        <w:rPr>
          <w:rFonts w:ascii="Times New Roman" w:eastAsia="Times New Roman" w:hAnsi="Times New Roman" w:cs="Times New Roman"/>
        </w:rPr>
        <w:t>Castanhar</w:t>
      </w:r>
      <w:proofErr w:type="spellEnd"/>
      <w:r w:rsidRPr="006026C8">
        <w:rPr>
          <w:rFonts w:ascii="Times New Roman" w:eastAsia="Times New Roman" w:hAnsi="Times New Roman" w:cs="Times New Roman"/>
        </w:rPr>
        <w:t xml:space="preserve"> (2003), é a partir da análise da gestão pública que é possível aprimorar os resultados e corrigir as distorções, haja vista que o iminente crescimento das demandas por ações e serviços sociais impõe ao governo a necessidade de obter uma maior eficiência em seus programas e ações.</w:t>
      </w:r>
    </w:p>
    <w:p w14:paraId="6B2B1A44" w14:textId="11A68071" w:rsidR="00821527" w:rsidRPr="006026C8"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6026C8">
        <w:rPr>
          <w:rFonts w:ascii="Times New Roman" w:eastAsia="Times New Roman" w:hAnsi="Times New Roman" w:cs="Times New Roman"/>
        </w:rPr>
        <w:t xml:space="preserve">Nesse sentido, existem várias formas e critérios de se mensurar o desempenho do gestor público, uma delas é a avaliação física e financeira, que analisa os programas, projetos e atividades de governo, e suas finalidades são: i) aferir o resultado alcançado pelo gestor, tendo como referência os objetivos e metas fixados;  </w:t>
      </w:r>
      <w:proofErr w:type="spellStart"/>
      <w:r w:rsidRPr="006026C8">
        <w:rPr>
          <w:rFonts w:ascii="Times New Roman" w:eastAsia="Times New Roman" w:hAnsi="Times New Roman" w:cs="Times New Roman"/>
        </w:rPr>
        <w:t>ii</w:t>
      </w:r>
      <w:proofErr w:type="spellEnd"/>
      <w:r w:rsidRPr="006026C8">
        <w:rPr>
          <w:rFonts w:ascii="Times New Roman" w:eastAsia="Times New Roman" w:hAnsi="Times New Roman" w:cs="Times New Roman"/>
        </w:rPr>
        <w:t xml:space="preserve">) subsidiar a alocação dos recursos públicos, bem como a política de gastos e o monitoramento das ações de governo; e </w:t>
      </w:r>
      <w:proofErr w:type="spellStart"/>
      <w:r w:rsidRPr="006026C8">
        <w:rPr>
          <w:rFonts w:ascii="Times New Roman" w:eastAsia="Times New Roman" w:hAnsi="Times New Roman" w:cs="Times New Roman"/>
        </w:rPr>
        <w:t>iii</w:t>
      </w:r>
      <w:proofErr w:type="spellEnd"/>
      <w:r w:rsidRPr="006026C8">
        <w:rPr>
          <w:rFonts w:ascii="Times New Roman" w:eastAsia="Times New Roman" w:hAnsi="Times New Roman" w:cs="Times New Roman"/>
        </w:rPr>
        <w:t xml:space="preserve">) abster a dispersão e o mau uso dos recursos públicos (BRASIL, 1998). Além dessa, Costa e </w:t>
      </w:r>
      <w:proofErr w:type="spellStart"/>
      <w:r w:rsidRPr="006026C8">
        <w:rPr>
          <w:rFonts w:ascii="Times New Roman" w:eastAsia="Times New Roman" w:hAnsi="Times New Roman" w:cs="Times New Roman"/>
        </w:rPr>
        <w:t>Castanhar</w:t>
      </w:r>
      <w:proofErr w:type="spellEnd"/>
      <w:r w:rsidRPr="006026C8">
        <w:rPr>
          <w:rFonts w:ascii="Times New Roman" w:eastAsia="Times New Roman" w:hAnsi="Times New Roman" w:cs="Times New Roman"/>
        </w:rPr>
        <w:t xml:space="preserve"> (2003), destaca</w:t>
      </w:r>
      <w:r w:rsidR="00546CA7" w:rsidRPr="006026C8">
        <w:rPr>
          <w:rFonts w:ascii="Times New Roman" w:eastAsia="Times New Roman" w:hAnsi="Times New Roman" w:cs="Times New Roman"/>
        </w:rPr>
        <w:t>m</w:t>
      </w:r>
      <w:r w:rsidRPr="006026C8">
        <w:rPr>
          <w:rFonts w:ascii="Times New Roman" w:eastAsia="Times New Roman" w:hAnsi="Times New Roman" w:cs="Times New Roman"/>
        </w:rPr>
        <w:t xml:space="preserve"> a avaliação da gestão pública pela eficiência, eficácia, impacto, sustentabilidade e análise custo-efetividade.</w:t>
      </w:r>
    </w:p>
    <w:p w14:paraId="6F9B8275" w14:textId="7C1FD189" w:rsidR="00821527" w:rsidRPr="006026C8"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6026C8">
        <w:rPr>
          <w:rFonts w:ascii="Times New Roman" w:eastAsia="Times New Roman" w:hAnsi="Times New Roman" w:cs="Times New Roman"/>
        </w:rPr>
        <w:t xml:space="preserve">Nessa linha de raciocínio, o controle da </w:t>
      </w:r>
      <w:r w:rsidR="00F7582A" w:rsidRPr="006026C8">
        <w:rPr>
          <w:rFonts w:ascii="Times New Roman" w:eastAsia="Times New Roman" w:hAnsi="Times New Roman" w:cs="Times New Roman"/>
        </w:rPr>
        <w:t>Administração Pública</w:t>
      </w:r>
      <w:r w:rsidRPr="006026C8">
        <w:rPr>
          <w:rFonts w:ascii="Times New Roman" w:eastAsia="Times New Roman" w:hAnsi="Times New Roman" w:cs="Times New Roman"/>
        </w:rPr>
        <w:t xml:space="preserve"> pode ser compreendido, segundo Azevedo (2013)</w:t>
      </w:r>
      <w:r w:rsidR="008E5195" w:rsidRPr="006026C8">
        <w:rPr>
          <w:rFonts w:ascii="Times New Roman" w:eastAsia="Times New Roman" w:hAnsi="Times New Roman" w:cs="Times New Roman"/>
        </w:rPr>
        <w:t>,</w:t>
      </w:r>
      <w:r w:rsidRPr="006026C8">
        <w:rPr>
          <w:rFonts w:ascii="Times New Roman" w:eastAsia="Times New Roman" w:hAnsi="Times New Roman" w:cs="Times New Roman"/>
        </w:rPr>
        <w:t xml:space="preserve"> como o monitoramento e avaliação das atividades e operações do gestor público. Tal controle pode ocorrer por meio do controle interno, e</w:t>
      </w:r>
      <w:r w:rsidR="00450789" w:rsidRPr="006026C8">
        <w:rPr>
          <w:rFonts w:ascii="Times New Roman" w:eastAsia="Times New Roman" w:hAnsi="Times New Roman" w:cs="Times New Roman"/>
        </w:rPr>
        <w:t>xterno e social (BRASIL, 1998).</w:t>
      </w:r>
    </w:p>
    <w:p w14:paraId="3BE8C81A" w14:textId="508753A7" w:rsidR="00821527" w:rsidRPr="00F05EF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6026C8">
        <w:rPr>
          <w:rFonts w:ascii="Times New Roman" w:eastAsia="Times New Roman" w:hAnsi="Times New Roman" w:cs="Times New Roman"/>
        </w:rPr>
        <w:t xml:space="preserve">Meirelles (2013) destaca que os controles podem ocorrer em três classes da </w:t>
      </w:r>
      <w:r w:rsidR="00F7582A" w:rsidRPr="006026C8">
        <w:rPr>
          <w:rFonts w:ascii="Times New Roman" w:eastAsia="Times New Roman" w:hAnsi="Times New Roman" w:cs="Times New Roman"/>
        </w:rPr>
        <w:t>Administração Pública</w:t>
      </w:r>
      <w:r w:rsidRPr="006026C8">
        <w:rPr>
          <w:rFonts w:ascii="Times New Roman" w:eastAsia="Times New Roman" w:hAnsi="Times New Roman" w:cs="Times New Roman"/>
        </w:rPr>
        <w:t>, como: i) controle administrativo, qu</w:t>
      </w:r>
      <w:r w:rsidRPr="00F05EF7">
        <w:rPr>
          <w:rFonts w:ascii="Times New Roman" w:eastAsia="Times New Roman" w:hAnsi="Times New Roman" w:cs="Times New Roman"/>
        </w:rPr>
        <w:t xml:space="preserve">e é a atividade da própria Administração sobre seus atos e agentes; </w:t>
      </w:r>
      <w:proofErr w:type="spellStart"/>
      <w:r w:rsidRPr="00F05EF7">
        <w:rPr>
          <w:rFonts w:ascii="Times New Roman" w:eastAsia="Times New Roman" w:hAnsi="Times New Roman" w:cs="Times New Roman"/>
        </w:rPr>
        <w:t>ii</w:t>
      </w:r>
      <w:proofErr w:type="spellEnd"/>
      <w:r w:rsidRPr="00F05EF7">
        <w:rPr>
          <w:rFonts w:ascii="Times New Roman" w:eastAsia="Times New Roman" w:hAnsi="Times New Roman" w:cs="Times New Roman"/>
        </w:rPr>
        <w:t xml:space="preserve">) controle legislativo, que é exercido pelo Poder Legislativo, sobre atos e agentes do Poder Executivo; e </w:t>
      </w:r>
      <w:proofErr w:type="spellStart"/>
      <w:r w:rsidRPr="00F05EF7">
        <w:rPr>
          <w:rFonts w:ascii="Times New Roman" w:eastAsia="Times New Roman" w:hAnsi="Times New Roman" w:cs="Times New Roman"/>
        </w:rPr>
        <w:t>iii</w:t>
      </w:r>
      <w:proofErr w:type="spellEnd"/>
      <w:r w:rsidRPr="00F05EF7">
        <w:rPr>
          <w:rFonts w:ascii="Times New Roman" w:eastAsia="Times New Roman" w:hAnsi="Times New Roman" w:cs="Times New Roman"/>
        </w:rPr>
        <w:t>) controle judicial, que busca avaliar a legalidade dos atos de qualquer um dos Poderes. Logo, o orçamento deve ser controlado e avaliado, não somente pela própria gestão, mas também pelos demais poderes, assim como pela sociedade, a fim de garantir que a gestão realize o interesse dos seus representados (ABRUCIO; PETROTI; PÓ, 2010).</w:t>
      </w:r>
    </w:p>
    <w:p w14:paraId="6C516230" w14:textId="6E00BAAB" w:rsidR="00821527" w:rsidRPr="00F05EF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Nesse sentido, Azevedo (2013) </w:t>
      </w:r>
      <w:r w:rsidR="00F8377A" w:rsidRPr="00F05EF7">
        <w:rPr>
          <w:rFonts w:ascii="Times New Roman" w:eastAsia="Times New Roman" w:hAnsi="Times New Roman" w:cs="Times New Roman"/>
        </w:rPr>
        <w:t>destaca</w:t>
      </w:r>
      <w:r w:rsidRPr="00F05EF7">
        <w:rPr>
          <w:rFonts w:ascii="Times New Roman" w:eastAsia="Times New Roman" w:hAnsi="Times New Roman" w:cs="Times New Roman"/>
        </w:rPr>
        <w:t xml:space="preserve"> que a imprecisão no orçamento público afeta a credibilidade da informação perante a sociedade, além de gerar inconsistências no controle externo e dentro do próprio Governo. Outrossim, a imprecisão do orçamento público contrafaz diretamente a credibilidade do ente, quanto ao equilíbrio e </w:t>
      </w:r>
      <w:r w:rsidR="00546CA7" w:rsidRPr="006026C8">
        <w:rPr>
          <w:rFonts w:ascii="Times New Roman" w:eastAsia="Times New Roman" w:hAnsi="Times New Roman" w:cs="Times New Roman"/>
        </w:rPr>
        <w:t>à</w:t>
      </w:r>
      <w:r w:rsidRPr="006026C8">
        <w:rPr>
          <w:rFonts w:ascii="Times New Roman" w:eastAsia="Times New Roman" w:hAnsi="Times New Roman" w:cs="Times New Roman"/>
        </w:rPr>
        <w:t xml:space="preserve"> p</w:t>
      </w:r>
      <w:r w:rsidR="00560BD0" w:rsidRPr="006026C8">
        <w:rPr>
          <w:rFonts w:ascii="Times New Roman" w:eastAsia="Times New Roman" w:hAnsi="Times New Roman" w:cs="Times New Roman"/>
        </w:rPr>
        <w:t>revisibilidade (AZ</w:t>
      </w:r>
      <w:r w:rsidR="00560BD0" w:rsidRPr="00F05EF7">
        <w:rPr>
          <w:rFonts w:ascii="Times New Roman" w:eastAsia="Times New Roman" w:hAnsi="Times New Roman" w:cs="Times New Roman"/>
        </w:rPr>
        <w:t xml:space="preserve">EVEDO, </w:t>
      </w:r>
      <w:r w:rsidR="00560BD0" w:rsidRPr="00F05EF7">
        <w:rPr>
          <w:rFonts w:ascii="Times New Roman" w:eastAsia="Times New Roman" w:hAnsi="Times New Roman" w:cs="Times New Roman"/>
        </w:rPr>
        <w:lastRenderedPageBreak/>
        <w:t>2013</w:t>
      </w:r>
      <w:r w:rsidR="00EA2167" w:rsidRPr="00F05EF7">
        <w:rPr>
          <w:rFonts w:ascii="Times New Roman" w:eastAsia="Times New Roman" w:hAnsi="Times New Roman" w:cs="Times New Roman"/>
        </w:rPr>
        <w:t>)</w:t>
      </w:r>
      <w:r w:rsidR="00560BD0" w:rsidRPr="00F05EF7">
        <w:rPr>
          <w:rFonts w:ascii="Times New Roman" w:eastAsia="Times New Roman" w:hAnsi="Times New Roman" w:cs="Times New Roman"/>
        </w:rPr>
        <w:t>.</w:t>
      </w:r>
    </w:p>
    <w:p w14:paraId="0930B5FD" w14:textId="5DB8DFFD" w:rsidR="00821527" w:rsidRPr="00F05EF7" w:rsidRDefault="00560BD0"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Logo, a</w:t>
      </w:r>
      <w:r w:rsidR="0010504B" w:rsidRPr="00F05EF7">
        <w:rPr>
          <w:rFonts w:ascii="Times New Roman" w:eastAsia="Times New Roman" w:hAnsi="Times New Roman" w:cs="Times New Roman"/>
        </w:rPr>
        <w:t xml:space="preserve"> contabilidade gerencial é uma importante ferramenta que permite o exercício do controle orçamentário e de imprecisões (SCAPENS; ARNOLD, 1986), sendo amplamente conhecida como uma prática organizacional potencialmente institucionalizada, rotineira (</w:t>
      </w:r>
      <w:r w:rsidR="00220F81">
        <w:rPr>
          <w:rFonts w:ascii="Times New Roman" w:eastAsia="Times New Roman" w:hAnsi="Times New Roman" w:cs="Times New Roman"/>
        </w:rPr>
        <w:t xml:space="preserve">BURNS, </w:t>
      </w:r>
      <w:r w:rsidR="0010504B" w:rsidRPr="00F05EF7">
        <w:rPr>
          <w:rFonts w:ascii="Times New Roman" w:eastAsia="Times New Roman" w:hAnsi="Times New Roman" w:cs="Times New Roman"/>
        </w:rPr>
        <w:t>SCAPENS, 2000), razão pela qual pode, com o passar do tempo, sustentar formas de pensar e agir den</w:t>
      </w:r>
      <w:r w:rsidR="005A122A">
        <w:rPr>
          <w:rFonts w:ascii="Times New Roman" w:eastAsia="Times New Roman" w:hAnsi="Times New Roman" w:cs="Times New Roman"/>
        </w:rPr>
        <w:t>tro de uma organização pública</w:t>
      </w:r>
      <w:r w:rsidR="0010504B" w:rsidRPr="00F05EF7">
        <w:rPr>
          <w:rFonts w:ascii="Times New Roman" w:eastAsia="Times New Roman" w:hAnsi="Times New Roman" w:cs="Times New Roman"/>
        </w:rPr>
        <w:t xml:space="preserve">. Azevedo (2013) adverte que a avaliação da gestão pública deve ocorrer por meio de um processo de teorização, que tem por objetivo simplificar categorias abstratas, elaborando cadeias de causa e efeito. </w:t>
      </w:r>
    </w:p>
    <w:p w14:paraId="2CC269C7" w14:textId="00AAA6E3" w:rsidR="00821527" w:rsidRPr="00F05EF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proofErr w:type="spellStart"/>
      <w:r w:rsidRPr="00F05EF7">
        <w:rPr>
          <w:rFonts w:ascii="Times New Roman" w:eastAsia="Times New Roman" w:hAnsi="Times New Roman" w:cs="Times New Roman"/>
        </w:rPr>
        <w:t>Tolbert</w:t>
      </w:r>
      <w:proofErr w:type="spellEnd"/>
      <w:r w:rsidRPr="00F05EF7">
        <w:rPr>
          <w:rFonts w:ascii="Times New Roman" w:eastAsia="Times New Roman" w:hAnsi="Times New Roman" w:cs="Times New Roman"/>
        </w:rPr>
        <w:t xml:space="preserve"> e </w:t>
      </w:r>
      <w:proofErr w:type="spellStart"/>
      <w:r w:rsidRPr="00F05EF7">
        <w:rPr>
          <w:rFonts w:ascii="Times New Roman" w:eastAsia="Times New Roman" w:hAnsi="Times New Roman" w:cs="Times New Roman"/>
        </w:rPr>
        <w:t>Zucker</w:t>
      </w:r>
      <w:proofErr w:type="spellEnd"/>
      <w:r w:rsidRPr="00F05EF7">
        <w:rPr>
          <w:rFonts w:ascii="Times New Roman" w:eastAsia="Times New Roman" w:hAnsi="Times New Roman" w:cs="Times New Roman"/>
        </w:rPr>
        <w:t xml:space="preserve"> (1996) defendem que a teorização se dá por meio de duas fases: (i) especificação de uma solução para tratamento de uma falha organizacional, e (</w:t>
      </w:r>
      <w:proofErr w:type="spellStart"/>
      <w:r w:rsidRPr="00F05EF7">
        <w:rPr>
          <w:rFonts w:ascii="Times New Roman" w:eastAsia="Times New Roman" w:hAnsi="Times New Roman" w:cs="Times New Roman"/>
        </w:rPr>
        <w:t>ii</w:t>
      </w:r>
      <w:proofErr w:type="spellEnd"/>
      <w:r w:rsidRPr="00F05EF7">
        <w:rPr>
          <w:rFonts w:ascii="Times New Roman" w:eastAsia="Times New Roman" w:hAnsi="Times New Roman" w:cs="Times New Roman"/>
        </w:rPr>
        <w:t xml:space="preserve">) justificativa da adoção da inovação que está sendo proposta. </w:t>
      </w:r>
      <w:r w:rsidR="00442349" w:rsidRPr="00F05EF7">
        <w:rPr>
          <w:rFonts w:ascii="Times New Roman" w:eastAsia="Times New Roman" w:hAnsi="Times New Roman" w:cs="Times New Roman"/>
        </w:rPr>
        <w:t>Assim, este estudo buscou identificar as falhas existentes nos planejamentos orçamentários dos municípios selecionados para tanto e propor ações para a melhoria destas.</w:t>
      </w:r>
    </w:p>
    <w:p w14:paraId="2F80CA8D" w14:textId="77777777" w:rsidR="006821A0" w:rsidRPr="00F05EF7" w:rsidRDefault="006821A0" w:rsidP="00AD5592">
      <w:pPr>
        <w:widowControl w:val="0"/>
        <w:pBdr>
          <w:top w:val="nil"/>
          <w:left w:val="nil"/>
          <w:bottom w:val="nil"/>
          <w:right w:val="nil"/>
          <w:between w:val="nil"/>
        </w:pBdr>
        <w:ind w:firstLine="709"/>
        <w:jc w:val="both"/>
        <w:rPr>
          <w:rFonts w:ascii="Times New Roman" w:eastAsia="Times New Roman" w:hAnsi="Times New Roman" w:cs="Times New Roman"/>
        </w:rPr>
      </w:pPr>
    </w:p>
    <w:p w14:paraId="145D129D" w14:textId="7BB46AF0" w:rsidR="00821527" w:rsidRPr="00F05EF7" w:rsidRDefault="00F9587A" w:rsidP="00AC4D11">
      <w:pPr>
        <w:pStyle w:val="Ttulo1"/>
        <w:ind w:firstLine="709"/>
        <w:rPr>
          <w:rFonts w:ascii="Times New Roman" w:eastAsia="Times New Roman" w:hAnsi="Times New Roman" w:cs="Times New Roman"/>
        </w:rPr>
      </w:pPr>
      <w:bookmarkStart w:id="9" w:name="_Toc17376028"/>
      <w:r>
        <w:rPr>
          <w:rFonts w:ascii="Times New Roman" w:eastAsia="Times New Roman" w:hAnsi="Times New Roman" w:cs="Times New Roman"/>
        </w:rPr>
        <w:t>3</w:t>
      </w:r>
      <w:r w:rsidR="00AD4313" w:rsidRPr="00F05EF7">
        <w:rPr>
          <w:rFonts w:ascii="Times New Roman" w:eastAsia="Times New Roman" w:hAnsi="Times New Roman" w:cs="Times New Roman"/>
        </w:rPr>
        <w:t xml:space="preserve"> P</w:t>
      </w:r>
      <w:r w:rsidR="0010504B" w:rsidRPr="00F05EF7">
        <w:rPr>
          <w:rFonts w:ascii="Times New Roman" w:eastAsia="Times New Roman" w:hAnsi="Times New Roman" w:cs="Times New Roman"/>
        </w:rPr>
        <w:t>ROCEDIMENTOS METODOLÓGICOS</w:t>
      </w:r>
      <w:bookmarkEnd w:id="9"/>
    </w:p>
    <w:p w14:paraId="4618FE67" w14:textId="77777777" w:rsidR="00B55947" w:rsidRPr="00F05EF7" w:rsidRDefault="00B55947" w:rsidP="00AD5592"/>
    <w:p w14:paraId="1310D9A7" w14:textId="77777777" w:rsidR="006527BB" w:rsidRPr="00F05EF7" w:rsidRDefault="0010504B" w:rsidP="00AD5592">
      <w:pPr>
        <w:pBdr>
          <w:top w:val="nil"/>
          <w:left w:val="nil"/>
          <w:bottom w:val="nil"/>
          <w:right w:val="nil"/>
          <w:between w:val="nil"/>
        </w:pBdr>
        <w:ind w:firstLine="720"/>
        <w:jc w:val="both"/>
        <w:rPr>
          <w:rFonts w:ascii="Times New Roman" w:eastAsia="Times New Roman" w:hAnsi="Times New Roman" w:cs="Times New Roman"/>
        </w:rPr>
      </w:pPr>
      <w:bookmarkStart w:id="10" w:name="_3j2qqm3" w:colFirst="0" w:colLast="0"/>
      <w:bookmarkEnd w:id="10"/>
      <w:r w:rsidRPr="00F05EF7">
        <w:rPr>
          <w:rFonts w:ascii="Times New Roman" w:eastAsia="Times New Roman" w:hAnsi="Times New Roman" w:cs="Times New Roman"/>
        </w:rPr>
        <w:t xml:space="preserve">Os procedimentos metodológicos são um conjunto de atividades sistemáticas que baseiam e permitem atingir os objetivos do trabalho com resultados coerentes (MARCONI; LAKATOS, 2010). Isto posto, o Quadro </w:t>
      </w:r>
      <w:r w:rsidR="00D74632" w:rsidRPr="00F05EF7">
        <w:rPr>
          <w:rFonts w:ascii="Times New Roman" w:eastAsia="Times New Roman" w:hAnsi="Times New Roman" w:cs="Times New Roman"/>
        </w:rPr>
        <w:t>3</w:t>
      </w:r>
      <w:r w:rsidRPr="00F05EF7">
        <w:rPr>
          <w:rFonts w:ascii="Times New Roman" w:eastAsia="Times New Roman" w:hAnsi="Times New Roman" w:cs="Times New Roman"/>
        </w:rPr>
        <w:t xml:space="preserve"> apresenta o enquadramento da metodologia </w:t>
      </w:r>
      <w:r w:rsidR="00231A15" w:rsidRPr="00F05EF7">
        <w:rPr>
          <w:rFonts w:ascii="Times New Roman" w:eastAsia="Times New Roman" w:hAnsi="Times New Roman" w:cs="Times New Roman"/>
        </w:rPr>
        <w:t>do</w:t>
      </w:r>
      <w:r w:rsidRPr="00F05EF7">
        <w:rPr>
          <w:rFonts w:ascii="Times New Roman" w:eastAsia="Times New Roman" w:hAnsi="Times New Roman" w:cs="Times New Roman"/>
        </w:rPr>
        <w:t xml:space="preserve"> estudo.</w:t>
      </w:r>
      <w:bookmarkStart w:id="11" w:name="_1y810tw" w:colFirst="0" w:colLast="0"/>
      <w:bookmarkEnd w:id="11"/>
    </w:p>
    <w:p w14:paraId="1CD09086" w14:textId="087A98E3" w:rsidR="00821527" w:rsidRPr="00AC4D11" w:rsidRDefault="0010504B" w:rsidP="00AC4D11">
      <w:pPr>
        <w:pBdr>
          <w:top w:val="nil"/>
          <w:left w:val="nil"/>
          <w:bottom w:val="nil"/>
          <w:right w:val="nil"/>
          <w:between w:val="nil"/>
        </w:pBdr>
        <w:jc w:val="center"/>
        <w:rPr>
          <w:rFonts w:ascii="Times New Roman" w:eastAsia="Times New Roman" w:hAnsi="Times New Roman" w:cs="Times New Roman"/>
          <w:b/>
          <w:bCs/>
        </w:rPr>
      </w:pPr>
      <w:r w:rsidRPr="00AC4D11">
        <w:rPr>
          <w:rFonts w:ascii="Times New Roman" w:eastAsia="Times New Roman" w:hAnsi="Times New Roman" w:cs="Times New Roman"/>
          <w:b/>
          <w:bCs/>
        </w:rPr>
        <w:t xml:space="preserve">Quadro </w:t>
      </w:r>
      <w:r w:rsidR="00E8716D" w:rsidRPr="00AC4D11">
        <w:rPr>
          <w:rFonts w:ascii="Times New Roman" w:eastAsia="Times New Roman" w:hAnsi="Times New Roman" w:cs="Times New Roman"/>
          <w:b/>
          <w:bCs/>
        </w:rPr>
        <w:t>3</w:t>
      </w:r>
      <w:r w:rsidRPr="00AC4D11">
        <w:rPr>
          <w:rFonts w:ascii="Times New Roman" w:eastAsia="Times New Roman" w:hAnsi="Times New Roman" w:cs="Times New Roman"/>
          <w:b/>
          <w:bCs/>
        </w:rPr>
        <w:t xml:space="preserve"> – Enquadramento metodológico</w:t>
      </w:r>
    </w:p>
    <w:tbl>
      <w:tblPr>
        <w:tblStyle w:val="a4"/>
        <w:tblW w:w="5000" w:type="pct"/>
        <w:jc w:val="center"/>
        <w:tblInd w:w="0" w:type="dxa"/>
        <w:tblBorders>
          <w:top w:val="single" w:sz="12" w:space="0" w:color="00000A"/>
          <w:left w:val="single" w:sz="12" w:space="0" w:color="00000A"/>
          <w:bottom w:val="single" w:sz="4" w:space="0" w:color="000000"/>
          <w:right w:val="single" w:sz="12" w:space="0" w:color="00000A"/>
          <w:insideH w:val="single" w:sz="4" w:space="0" w:color="000000"/>
          <w:insideV w:val="single" w:sz="12" w:space="0" w:color="00000A"/>
        </w:tblBorders>
        <w:tblLook w:val="0400" w:firstRow="0" w:lastRow="0" w:firstColumn="0" w:lastColumn="0" w:noHBand="0" w:noVBand="1"/>
      </w:tblPr>
      <w:tblGrid>
        <w:gridCol w:w="4915"/>
        <w:gridCol w:w="4126"/>
      </w:tblGrid>
      <w:tr w:rsidR="00F05EF7" w:rsidRPr="00F05EF7" w14:paraId="5FC7B0AA" w14:textId="77777777" w:rsidTr="00F9587A">
        <w:trPr>
          <w:trHeight w:val="220"/>
          <w:jc w:val="center"/>
        </w:trPr>
        <w:tc>
          <w:tcPr>
            <w:tcW w:w="5000" w:type="pct"/>
            <w:gridSpan w:val="2"/>
            <w:tcBorders>
              <w:top w:val="single" w:sz="12" w:space="0" w:color="00000A"/>
              <w:left w:val="single" w:sz="12" w:space="0" w:color="00000A"/>
              <w:bottom w:val="single" w:sz="4" w:space="0" w:color="000000"/>
              <w:right w:val="single" w:sz="12" w:space="0" w:color="00000A"/>
            </w:tcBorders>
            <w:shd w:val="clear" w:color="auto" w:fill="auto"/>
          </w:tcPr>
          <w:p w14:paraId="084525CC" w14:textId="77777777" w:rsidR="00821527" w:rsidRPr="00F05EF7" w:rsidRDefault="0010504B" w:rsidP="00AD5592">
            <w:pPr>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Classificação da pesquisa</w:t>
            </w:r>
          </w:p>
        </w:tc>
      </w:tr>
      <w:tr w:rsidR="00F05EF7" w:rsidRPr="00F05EF7" w14:paraId="3CCE3C83" w14:textId="77777777" w:rsidTr="00F9587A">
        <w:trPr>
          <w:trHeight w:val="220"/>
          <w:jc w:val="center"/>
        </w:trPr>
        <w:tc>
          <w:tcPr>
            <w:tcW w:w="2718" w:type="pct"/>
            <w:tcBorders>
              <w:top w:val="single" w:sz="12" w:space="0" w:color="00000A"/>
              <w:left w:val="single" w:sz="12" w:space="0" w:color="00000A"/>
              <w:bottom w:val="single" w:sz="4" w:space="0" w:color="000000"/>
              <w:right w:val="single" w:sz="4" w:space="0" w:color="000000"/>
            </w:tcBorders>
            <w:shd w:val="clear" w:color="auto" w:fill="auto"/>
          </w:tcPr>
          <w:p w14:paraId="0AD15462"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Natureza</w:t>
            </w:r>
          </w:p>
        </w:tc>
        <w:tc>
          <w:tcPr>
            <w:tcW w:w="2282" w:type="pct"/>
            <w:tcBorders>
              <w:top w:val="single" w:sz="12" w:space="0" w:color="00000A"/>
              <w:left w:val="single" w:sz="12" w:space="0" w:color="00000A"/>
              <w:bottom w:val="single" w:sz="4" w:space="0" w:color="000000"/>
              <w:right w:val="single" w:sz="12" w:space="0" w:color="00000A"/>
            </w:tcBorders>
            <w:shd w:val="clear" w:color="auto" w:fill="auto"/>
            <w:tcMar>
              <w:left w:w="78" w:type="dxa"/>
            </w:tcMar>
          </w:tcPr>
          <w:p w14:paraId="1B9EF94A"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Aplicada</w:t>
            </w:r>
          </w:p>
        </w:tc>
      </w:tr>
      <w:tr w:rsidR="00F05EF7" w:rsidRPr="00F05EF7" w14:paraId="333470B1" w14:textId="77777777" w:rsidTr="00F9587A">
        <w:trPr>
          <w:trHeight w:val="260"/>
          <w:jc w:val="center"/>
        </w:trPr>
        <w:tc>
          <w:tcPr>
            <w:tcW w:w="2718" w:type="pct"/>
            <w:tcBorders>
              <w:top w:val="single" w:sz="4" w:space="0" w:color="000000"/>
              <w:left w:val="single" w:sz="12" w:space="0" w:color="00000A"/>
              <w:bottom w:val="single" w:sz="4" w:space="0" w:color="000000"/>
              <w:right w:val="single" w:sz="4" w:space="0" w:color="000000"/>
            </w:tcBorders>
            <w:shd w:val="clear" w:color="auto" w:fill="auto"/>
          </w:tcPr>
          <w:p w14:paraId="4EF44302"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Método científico</w:t>
            </w:r>
          </w:p>
        </w:tc>
        <w:tc>
          <w:tcPr>
            <w:tcW w:w="2282" w:type="pct"/>
            <w:tcBorders>
              <w:top w:val="single" w:sz="4" w:space="0" w:color="000000"/>
              <w:left w:val="single" w:sz="12" w:space="0" w:color="00000A"/>
              <w:bottom w:val="single" w:sz="4" w:space="0" w:color="000000"/>
              <w:right w:val="single" w:sz="12" w:space="0" w:color="00000A"/>
            </w:tcBorders>
            <w:shd w:val="clear" w:color="auto" w:fill="auto"/>
            <w:tcMar>
              <w:left w:w="78" w:type="dxa"/>
            </w:tcMar>
          </w:tcPr>
          <w:p w14:paraId="0BBB8044"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Indutivo</w:t>
            </w:r>
          </w:p>
        </w:tc>
      </w:tr>
      <w:tr w:rsidR="00F05EF7" w:rsidRPr="00F05EF7" w14:paraId="2529725D" w14:textId="77777777" w:rsidTr="00F9587A">
        <w:trPr>
          <w:trHeight w:val="260"/>
          <w:jc w:val="center"/>
        </w:trPr>
        <w:tc>
          <w:tcPr>
            <w:tcW w:w="2718" w:type="pct"/>
            <w:tcBorders>
              <w:top w:val="single" w:sz="4" w:space="0" w:color="000000"/>
              <w:left w:val="single" w:sz="12" w:space="0" w:color="00000A"/>
              <w:bottom w:val="single" w:sz="4" w:space="0" w:color="000000"/>
              <w:right w:val="single" w:sz="4" w:space="0" w:color="000000"/>
            </w:tcBorders>
            <w:shd w:val="clear" w:color="auto" w:fill="auto"/>
          </w:tcPr>
          <w:p w14:paraId="7DD414C8"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Abordagem</w:t>
            </w:r>
          </w:p>
        </w:tc>
        <w:tc>
          <w:tcPr>
            <w:tcW w:w="2282" w:type="pct"/>
            <w:tcBorders>
              <w:top w:val="single" w:sz="4" w:space="0" w:color="000000"/>
              <w:left w:val="single" w:sz="12" w:space="0" w:color="00000A"/>
              <w:bottom w:val="single" w:sz="4" w:space="0" w:color="000000"/>
              <w:right w:val="single" w:sz="12" w:space="0" w:color="00000A"/>
            </w:tcBorders>
            <w:shd w:val="clear" w:color="auto" w:fill="auto"/>
            <w:tcMar>
              <w:left w:w="78" w:type="dxa"/>
            </w:tcMar>
          </w:tcPr>
          <w:p w14:paraId="4C2E3EBB"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Qualitativa</w:t>
            </w:r>
          </w:p>
        </w:tc>
      </w:tr>
      <w:tr w:rsidR="00F05EF7" w:rsidRPr="00F05EF7" w14:paraId="3BC58A88" w14:textId="77777777" w:rsidTr="00F9587A">
        <w:trPr>
          <w:trHeight w:val="260"/>
          <w:jc w:val="center"/>
        </w:trPr>
        <w:tc>
          <w:tcPr>
            <w:tcW w:w="2718" w:type="pct"/>
            <w:tcBorders>
              <w:top w:val="single" w:sz="4" w:space="0" w:color="000000"/>
              <w:left w:val="single" w:sz="12" w:space="0" w:color="00000A"/>
              <w:bottom w:val="single" w:sz="4" w:space="0" w:color="000000"/>
              <w:right w:val="single" w:sz="4" w:space="0" w:color="000000"/>
            </w:tcBorders>
            <w:shd w:val="clear" w:color="auto" w:fill="auto"/>
          </w:tcPr>
          <w:p w14:paraId="421518E0"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Objetivos</w:t>
            </w:r>
          </w:p>
        </w:tc>
        <w:tc>
          <w:tcPr>
            <w:tcW w:w="2282" w:type="pct"/>
            <w:tcBorders>
              <w:top w:val="single" w:sz="4" w:space="0" w:color="000000"/>
              <w:left w:val="single" w:sz="12" w:space="0" w:color="00000A"/>
              <w:bottom w:val="single" w:sz="4" w:space="0" w:color="000000"/>
              <w:right w:val="single" w:sz="12" w:space="0" w:color="00000A"/>
            </w:tcBorders>
            <w:shd w:val="clear" w:color="auto" w:fill="auto"/>
            <w:tcMar>
              <w:left w:w="78" w:type="dxa"/>
            </w:tcMar>
          </w:tcPr>
          <w:p w14:paraId="3E6820F7"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Exploratória</w:t>
            </w:r>
          </w:p>
        </w:tc>
      </w:tr>
      <w:tr w:rsidR="00F05EF7" w:rsidRPr="00F05EF7" w14:paraId="5D0AF287" w14:textId="77777777" w:rsidTr="00F9587A">
        <w:trPr>
          <w:trHeight w:val="120"/>
          <w:jc w:val="center"/>
        </w:trPr>
        <w:tc>
          <w:tcPr>
            <w:tcW w:w="2718" w:type="pct"/>
            <w:tcBorders>
              <w:top w:val="single" w:sz="12" w:space="0" w:color="00000A"/>
              <w:left w:val="single" w:sz="12" w:space="0" w:color="00000A"/>
              <w:bottom w:val="single" w:sz="12" w:space="0" w:color="00000A"/>
              <w:right w:val="single" w:sz="4" w:space="0" w:color="000000"/>
            </w:tcBorders>
            <w:shd w:val="clear" w:color="auto" w:fill="auto"/>
          </w:tcPr>
          <w:p w14:paraId="24606557"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Procedimentos técnicos</w:t>
            </w:r>
          </w:p>
        </w:tc>
        <w:tc>
          <w:tcPr>
            <w:tcW w:w="2282" w:type="pct"/>
            <w:tcBorders>
              <w:top w:val="single" w:sz="12" w:space="0" w:color="00000A"/>
              <w:left w:val="single" w:sz="12" w:space="0" w:color="00000A"/>
              <w:bottom w:val="single" w:sz="12" w:space="0" w:color="00000A"/>
              <w:right w:val="single" w:sz="12" w:space="0" w:color="00000A"/>
            </w:tcBorders>
            <w:shd w:val="clear" w:color="auto" w:fill="auto"/>
            <w:tcMar>
              <w:left w:w="78" w:type="dxa"/>
            </w:tcMar>
          </w:tcPr>
          <w:p w14:paraId="211C7D98" w14:textId="77777777" w:rsidR="00821527" w:rsidRPr="00F05EF7" w:rsidRDefault="0010504B" w:rsidP="00AD5592">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Documental</w:t>
            </w:r>
          </w:p>
        </w:tc>
      </w:tr>
    </w:tbl>
    <w:p w14:paraId="1A4D6454" w14:textId="311835A8" w:rsidR="00AD4313" w:rsidRDefault="0010504B" w:rsidP="009A65E7">
      <w:pPr>
        <w:pBdr>
          <w:top w:val="nil"/>
          <w:left w:val="nil"/>
          <w:bottom w:val="nil"/>
          <w:right w:val="nil"/>
          <w:between w:val="nil"/>
        </w:pBdr>
        <w:jc w:val="both"/>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Fonte: Elaborado pelo</w:t>
      </w:r>
      <w:r w:rsidR="00F9587A">
        <w:rPr>
          <w:rFonts w:ascii="Times New Roman" w:eastAsia="Times New Roman" w:hAnsi="Times New Roman" w:cs="Times New Roman"/>
          <w:sz w:val="20"/>
          <w:szCs w:val="20"/>
        </w:rPr>
        <w:t>s</w:t>
      </w:r>
      <w:r w:rsidRPr="00F05EF7">
        <w:rPr>
          <w:rFonts w:ascii="Times New Roman" w:eastAsia="Times New Roman" w:hAnsi="Times New Roman" w:cs="Times New Roman"/>
          <w:sz w:val="20"/>
          <w:szCs w:val="20"/>
        </w:rPr>
        <w:t xml:space="preserve"> </w:t>
      </w:r>
      <w:r w:rsidR="00F9587A">
        <w:rPr>
          <w:rFonts w:ascii="Times New Roman" w:eastAsia="Times New Roman" w:hAnsi="Times New Roman" w:cs="Times New Roman"/>
          <w:sz w:val="20"/>
          <w:szCs w:val="20"/>
        </w:rPr>
        <w:t>autores</w:t>
      </w:r>
      <w:r w:rsidRPr="00F05EF7">
        <w:rPr>
          <w:rFonts w:ascii="Times New Roman" w:eastAsia="Times New Roman" w:hAnsi="Times New Roman" w:cs="Times New Roman"/>
          <w:sz w:val="20"/>
          <w:szCs w:val="20"/>
        </w:rPr>
        <w:t xml:space="preserve">, com base em Marconi e </w:t>
      </w:r>
      <w:proofErr w:type="spellStart"/>
      <w:r w:rsidRPr="00F05EF7">
        <w:rPr>
          <w:rFonts w:ascii="Times New Roman" w:eastAsia="Times New Roman" w:hAnsi="Times New Roman" w:cs="Times New Roman"/>
          <w:sz w:val="20"/>
          <w:szCs w:val="20"/>
        </w:rPr>
        <w:t>Lakatos</w:t>
      </w:r>
      <w:proofErr w:type="spellEnd"/>
      <w:r w:rsidRPr="00F05EF7">
        <w:rPr>
          <w:rFonts w:ascii="Times New Roman" w:eastAsia="Times New Roman" w:hAnsi="Times New Roman" w:cs="Times New Roman"/>
          <w:sz w:val="20"/>
          <w:szCs w:val="20"/>
        </w:rPr>
        <w:t xml:space="preserve"> (2010)</w:t>
      </w:r>
      <w:r w:rsidR="00F9587A">
        <w:rPr>
          <w:rFonts w:ascii="Times New Roman" w:eastAsia="Times New Roman" w:hAnsi="Times New Roman" w:cs="Times New Roman"/>
          <w:sz w:val="20"/>
          <w:szCs w:val="20"/>
        </w:rPr>
        <w:t>.</w:t>
      </w:r>
    </w:p>
    <w:p w14:paraId="08CF44E0" w14:textId="77777777" w:rsidR="009A65E7" w:rsidRPr="00F05EF7" w:rsidRDefault="009A65E7" w:rsidP="009A65E7">
      <w:pPr>
        <w:pBdr>
          <w:top w:val="nil"/>
          <w:left w:val="nil"/>
          <w:bottom w:val="nil"/>
          <w:right w:val="nil"/>
          <w:between w:val="nil"/>
        </w:pBdr>
        <w:jc w:val="both"/>
        <w:rPr>
          <w:rFonts w:ascii="Times New Roman" w:eastAsia="Times New Roman" w:hAnsi="Times New Roman" w:cs="Times New Roman"/>
          <w:sz w:val="20"/>
          <w:szCs w:val="20"/>
        </w:rPr>
      </w:pPr>
    </w:p>
    <w:p w14:paraId="2DC85E8B" w14:textId="6528A488" w:rsidR="00821527" w:rsidRPr="00F05EF7" w:rsidRDefault="001E2E81"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Esse estudo</w:t>
      </w:r>
      <w:r w:rsidR="0010504B" w:rsidRPr="00F05EF7">
        <w:rPr>
          <w:rFonts w:ascii="Times New Roman" w:eastAsia="Times New Roman" w:hAnsi="Times New Roman" w:cs="Times New Roman"/>
        </w:rPr>
        <w:t xml:space="preserve"> tem como ob</w:t>
      </w:r>
      <w:r w:rsidR="00532E95" w:rsidRPr="00F05EF7">
        <w:rPr>
          <w:rFonts w:ascii="Times New Roman" w:eastAsia="Times New Roman" w:hAnsi="Times New Roman" w:cs="Times New Roman"/>
        </w:rPr>
        <w:t xml:space="preserve">jeto de estudo os municípios da microrregião </w:t>
      </w:r>
      <w:r w:rsidR="0010504B" w:rsidRPr="00F05EF7">
        <w:rPr>
          <w:rFonts w:ascii="Times New Roman" w:eastAsia="Times New Roman" w:hAnsi="Times New Roman" w:cs="Times New Roman"/>
        </w:rPr>
        <w:t xml:space="preserve">de Restinga Seca. </w:t>
      </w:r>
      <w:r w:rsidR="00532E95" w:rsidRPr="00F05EF7">
        <w:rPr>
          <w:rFonts w:ascii="Times New Roman" w:eastAsia="Times New Roman" w:hAnsi="Times New Roman" w:cs="Times New Roman"/>
        </w:rPr>
        <w:t>Os</w:t>
      </w:r>
      <w:r w:rsidR="0010504B" w:rsidRPr="00F05EF7">
        <w:rPr>
          <w:rFonts w:ascii="Times New Roman" w:eastAsia="Times New Roman" w:hAnsi="Times New Roman" w:cs="Times New Roman"/>
        </w:rPr>
        <w:t xml:space="preserve"> municípios que compõem essa microrregião são</w:t>
      </w:r>
      <w:r w:rsidRPr="00F05EF7">
        <w:rPr>
          <w:rFonts w:ascii="Times New Roman" w:eastAsia="Times New Roman" w:hAnsi="Times New Roman" w:cs="Times New Roman"/>
        </w:rPr>
        <w:t>:</w:t>
      </w:r>
      <w:r w:rsidR="0010504B" w:rsidRPr="00F05EF7">
        <w:rPr>
          <w:rFonts w:ascii="Times New Roman" w:eastAsia="Times New Roman" w:hAnsi="Times New Roman" w:cs="Times New Roman"/>
        </w:rPr>
        <w:t xml:space="preserve"> Agudo, Dona Francisca, Faxinal do Soturno, Formigueiro</w:t>
      </w:r>
      <w:r w:rsidRPr="00F05EF7">
        <w:rPr>
          <w:rFonts w:ascii="Times New Roman" w:eastAsia="Times New Roman" w:hAnsi="Times New Roman" w:cs="Times New Roman"/>
        </w:rPr>
        <w:t xml:space="preserve">, </w:t>
      </w:r>
      <w:proofErr w:type="spellStart"/>
      <w:r w:rsidRPr="00F05EF7">
        <w:rPr>
          <w:rFonts w:ascii="Times New Roman" w:eastAsia="Times New Roman" w:hAnsi="Times New Roman" w:cs="Times New Roman"/>
        </w:rPr>
        <w:t>Ivorá</w:t>
      </w:r>
      <w:proofErr w:type="spellEnd"/>
      <w:r w:rsidRPr="00F05EF7">
        <w:rPr>
          <w:rFonts w:ascii="Times New Roman" w:eastAsia="Times New Roman" w:hAnsi="Times New Roman" w:cs="Times New Roman"/>
        </w:rPr>
        <w:t xml:space="preserve">, Nova Palma, Restinga </w:t>
      </w:r>
      <w:proofErr w:type="spellStart"/>
      <w:r w:rsidRPr="00F05EF7">
        <w:rPr>
          <w:rFonts w:ascii="Times New Roman" w:eastAsia="Times New Roman" w:hAnsi="Times New Roman" w:cs="Times New Roman"/>
        </w:rPr>
        <w:t>Sê</w:t>
      </w:r>
      <w:r w:rsidR="0010504B" w:rsidRPr="00F05EF7">
        <w:rPr>
          <w:rFonts w:ascii="Times New Roman" w:eastAsia="Times New Roman" w:hAnsi="Times New Roman" w:cs="Times New Roman"/>
        </w:rPr>
        <w:t>ca</w:t>
      </w:r>
      <w:proofErr w:type="spellEnd"/>
      <w:r w:rsidR="0010504B" w:rsidRPr="00F05EF7">
        <w:rPr>
          <w:rFonts w:ascii="Times New Roman" w:eastAsia="Times New Roman" w:hAnsi="Times New Roman" w:cs="Times New Roman"/>
        </w:rPr>
        <w:t xml:space="preserve">, São João do </w:t>
      </w:r>
      <w:proofErr w:type="spellStart"/>
      <w:r w:rsidR="0010504B" w:rsidRPr="00F05EF7">
        <w:rPr>
          <w:rFonts w:ascii="Times New Roman" w:eastAsia="Times New Roman" w:hAnsi="Times New Roman" w:cs="Times New Roman"/>
        </w:rPr>
        <w:t>Polêsine</w:t>
      </w:r>
      <w:proofErr w:type="spellEnd"/>
      <w:r w:rsidR="0010504B" w:rsidRPr="00F05EF7">
        <w:rPr>
          <w:rFonts w:ascii="Times New Roman" w:eastAsia="Times New Roman" w:hAnsi="Times New Roman" w:cs="Times New Roman"/>
        </w:rPr>
        <w:t xml:space="preserve"> e Silveira Martins. A </w:t>
      </w:r>
      <w:r w:rsidR="0010504B" w:rsidRPr="006026C8">
        <w:rPr>
          <w:rFonts w:ascii="Times New Roman" w:eastAsia="Times New Roman" w:hAnsi="Times New Roman" w:cs="Times New Roman"/>
        </w:rPr>
        <w:t xml:space="preserve">pesquisa </w:t>
      </w:r>
      <w:r w:rsidR="00546CA7" w:rsidRPr="006026C8">
        <w:rPr>
          <w:rFonts w:ascii="Times New Roman" w:eastAsia="Times New Roman" w:hAnsi="Times New Roman" w:cs="Times New Roman"/>
        </w:rPr>
        <w:t>foi</w:t>
      </w:r>
      <w:r w:rsidR="0010504B" w:rsidRPr="006026C8">
        <w:rPr>
          <w:rFonts w:ascii="Times New Roman" w:eastAsia="Times New Roman" w:hAnsi="Times New Roman" w:cs="Times New Roman"/>
        </w:rPr>
        <w:t xml:space="preserve"> realizada</w:t>
      </w:r>
      <w:r w:rsidR="0010504B" w:rsidRPr="00F05EF7">
        <w:rPr>
          <w:rFonts w:ascii="Times New Roman" w:eastAsia="Times New Roman" w:hAnsi="Times New Roman" w:cs="Times New Roman"/>
        </w:rPr>
        <w:t xml:space="preserve"> </w:t>
      </w:r>
      <w:r w:rsidRPr="00F05EF7">
        <w:rPr>
          <w:rFonts w:ascii="Times New Roman" w:eastAsia="Times New Roman" w:hAnsi="Times New Roman" w:cs="Times New Roman"/>
        </w:rPr>
        <w:t>nessa microrregião</w:t>
      </w:r>
      <w:r w:rsidR="0010504B" w:rsidRPr="00F05EF7">
        <w:rPr>
          <w:rFonts w:ascii="Times New Roman" w:eastAsia="Times New Roman" w:hAnsi="Times New Roman" w:cs="Times New Roman"/>
        </w:rPr>
        <w:t xml:space="preserve"> em vista da atuação mercantil ser de cunho igualitário, isto é, estar voltada aos produtos primários</w:t>
      </w:r>
      <w:r w:rsidR="000A3FCA" w:rsidRPr="00F05EF7">
        <w:rPr>
          <w:rFonts w:ascii="Times New Roman" w:eastAsia="Times New Roman" w:hAnsi="Times New Roman" w:cs="Times New Roman"/>
        </w:rPr>
        <w:t xml:space="preserve"> e pelos municípios nela pertencentes possuírem população, renda e níveis de desenvolvimento relativamente equivalentes</w:t>
      </w:r>
      <w:r w:rsidR="0010504B" w:rsidRPr="00F05EF7">
        <w:rPr>
          <w:rFonts w:ascii="Times New Roman" w:eastAsia="Times New Roman" w:hAnsi="Times New Roman" w:cs="Times New Roman"/>
        </w:rPr>
        <w:t>.</w:t>
      </w:r>
    </w:p>
    <w:p w14:paraId="410ADDF3" w14:textId="77777777" w:rsidR="002B1C4F" w:rsidRPr="00F05EF7" w:rsidRDefault="002B1C4F" w:rsidP="00AD5592">
      <w:pPr>
        <w:widowControl w:val="0"/>
        <w:pBdr>
          <w:top w:val="nil"/>
          <w:left w:val="nil"/>
          <w:bottom w:val="nil"/>
          <w:right w:val="nil"/>
          <w:between w:val="nil"/>
        </w:pBdr>
        <w:ind w:firstLine="709"/>
        <w:jc w:val="both"/>
      </w:pPr>
    </w:p>
    <w:p w14:paraId="503483DC" w14:textId="46055622" w:rsidR="00821527" w:rsidRPr="00AC4D11" w:rsidRDefault="00AC4D11" w:rsidP="00AF0520">
      <w:pPr>
        <w:pStyle w:val="Ttulo2"/>
        <w:ind w:firstLine="709"/>
        <w:rPr>
          <w:rFonts w:ascii="Times New Roman" w:eastAsia="Times New Roman" w:hAnsi="Times New Roman" w:cs="Times New Roman"/>
          <w:bCs/>
        </w:rPr>
      </w:pPr>
      <w:bookmarkStart w:id="12" w:name="_2xcytpi" w:colFirst="0" w:colLast="0"/>
      <w:bookmarkStart w:id="13" w:name="_Toc17376031"/>
      <w:bookmarkEnd w:id="12"/>
      <w:r w:rsidRPr="00AC4D11">
        <w:rPr>
          <w:rFonts w:ascii="Times New Roman" w:eastAsia="Times New Roman" w:hAnsi="Times New Roman" w:cs="Times New Roman"/>
          <w:bCs/>
        </w:rPr>
        <w:t>3.1 INSTRUMENTOS DE COLETA E ANÁLISE DOS DADOS</w:t>
      </w:r>
      <w:bookmarkEnd w:id="13"/>
    </w:p>
    <w:p w14:paraId="5EA1DBAF" w14:textId="77777777" w:rsidR="00F9587A" w:rsidRPr="00F9587A" w:rsidRDefault="00F9587A" w:rsidP="00AF0520">
      <w:pPr>
        <w:ind w:firstLine="709"/>
      </w:pPr>
    </w:p>
    <w:p w14:paraId="45BAD080" w14:textId="772F2C15" w:rsidR="00821527" w:rsidRPr="00F05EF7" w:rsidRDefault="0010504B" w:rsidP="00AD5592">
      <w:pPr>
        <w:pBdr>
          <w:top w:val="nil"/>
          <w:left w:val="nil"/>
          <w:bottom w:val="nil"/>
          <w:right w:val="nil"/>
          <w:between w:val="nil"/>
        </w:pBdr>
        <w:ind w:firstLine="720"/>
        <w:jc w:val="both"/>
        <w:rPr>
          <w:rFonts w:ascii="Times New Roman" w:eastAsia="Times New Roman" w:hAnsi="Times New Roman" w:cs="Times New Roman"/>
        </w:rPr>
      </w:pPr>
      <w:r w:rsidRPr="00F05EF7">
        <w:rPr>
          <w:rFonts w:ascii="Times New Roman" w:eastAsia="Times New Roman" w:hAnsi="Times New Roman" w:cs="Times New Roman"/>
        </w:rPr>
        <w:t>Para a coleta dos dados foram contatados todos os municípios objetos deste estudo, através de seus sítios eletrônicos</w:t>
      </w:r>
      <w:r w:rsidRPr="006026C8">
        <w:rPr>
          <w:rFonts w:ascii="Times New Roman" w:eastAsia="Times New Roman" w:hAnsi="Times New Roman" w:cs="Times New Roman"/>
        </w:rPr>
        <w:t xml:space="preserve">, </w:t>
      </w:r>
      <w:r w:rsidRPr="006026C8">
        <w:rPr>
          <w:rFonts w:ascii="Times New Roman" w:eastAsia="Times New Roman" w:hAnsi="Times New Roman" w:cs="Times New Roman"/>
          <w:i/>
        </w:rPr>
        <w:t>e-mails</w:t>
      </w:r>
      <w:r w:rsidRPr="006026C8">
        <w:rPr>
          <w:rFonts w:ascii="Times New Roman" w:eastAsia="Times New Roman" w:hAnsi="Times New Roman" w:cs="Times New Roman"/>
        </w:rPr>
        <w:t xml:space="preserve"> e/ou telefone, e realizados pedidos de informação, com base na Lei de Acesso à Informação – LAI (Lei nº 12.527/2011). Foram solicitados os balanços orçamentários de cada um dos entes públicos, da unidade gestora da prefeitura municipal, ou seja, sem considerar o poder legislativo</w:t>
      </w:r>
      <w:r w:rsidR="00E25849" w:rsidRPr="006026C8">
        <w:rPr>
          <w:rFonts w:ascii="Times New Roman" w:eastAsia="Times New Roman" w:hAnsi="Times New Roman" w:cs="Times New Roman"/>
        </w:rPr>
        <w:t xml:space="preserve"> (</w:t>
      </w:r>
      <w:r w:rsidR="00657D96" w:rsidRPr="006026C8">
        <w:rPr>
          <w:rFonts w:ascii="Times New Roman" w:eastAsia="Times New Roman" w:hAnsi="Times New Roman" w:cs="Times New Roman"/>
        </w:rPr>
        <w:t>C</w:t>
      </w:r>
      <w:r w:rsidR="00E25849" w:rsidRPr="006026C8">
        <w:rPr>
          <w:rFonts w:ascii="Times New Roman" w:eastAsia="Times New Roman" w:hAnsi="Times New Roman" w:cs="Times New Roman"/>
        </w:rPr>
        <w:t xml:space="preserve">âmaras de </w:t>
      </w:r>
      <w:r w:rsidR="00657D96" w:rsidRPr="006026C8">
        <w:rPr>
          <w:rFonts w:ascii="Times New Roman" w:eastAsia="Times New Roman" w:hAnsi="Times New Roman" w:cs="Times New Roman"/>
        </w:rPr>
        <w:t>V</w:t>
      </w:r>
      <w:r w:rsidR="00E25849" w:rsidRPr="006026C8">
        <w:rPr>
          <w:rFonts w:ascii="Times New Roman" w:eastAsia="Times New Roman" w:hAnsi="Times New Roman" w:cs="Times New Roman"/>
        </w:rPr>
        <w:t>ereadores)</w:t>
      </w:r>
      <w:r w:rsidRPr="006026C8">
        <w:rPr>
          <w:rFonts w:ascii="Times New Roman" w:eastAsia="Times New Roman" w:hAnsi="Times New Roman" w:cs="Times New Roman"/>
        </w:rPr>
        <w:t xml:space="preserve"> e eventuais autarquias municipais, dos </w:t>
      </w:r>
      <w:r w:rsidR="00E25849" w:rsidRPr="006026C8">
        <w:rPr>
          <w:rFonts w:ascii="Times New Roman" w:eastAsia="Times New Roman" w:hAnsi="Times New Roman" w:cs="Times New Roman"/>
        </w:rPr>
        <w:t>exercícios financeiros</w:t>
      </w:r>
      <w:r w:rsidRPr="006026C8">
        <w:rPr>
          <w:rFonts w:ascii="Times New Roman" w:eastAsia="Times New Roman" w:hAnsi="Times New Roman" w:cs="Times New Roman"/>
        </w:rPr>
        <w:t xml:space="preserve"> de 2014, 2015, 2016</w:t>
      </w:r>
      <w:r w:rsidRPr="00F05EF7">
        <w:rPr>
          <w:rFonts w:ascii="Times New Roman" w:eastAsia="Times New Roman" w:hAnsi="Times New Roman" w:cs="Times New Roman"/>
        </w:rPr>
        <w:t>, 2017 e 2018.</w:t>
      </w:r>
    </w:p>
    <w:p w14:paraId="2ADD8E3A" w14:textId="69B8515C" w:rsidR="00821527" w:rsidRPr="00F05EF7" w:rsidRDefault="0010504B" w:rsidP="00AD5592">
      <w:pPr>
        <w:pBdr>
          <w:top w:val="nil"/>
          <w:left w:val="nil"/>
          <w:bottom w:val="nil"/>
          <w:right w:val="nil"/>
          <w:between w:val="nil"/>
        </w:pBdr>
        <w:ind w:firstLine="720"/>
        <w:jc w:val="both"/>
        <w:rPr>
          <w:rFonts w:ascii="Times New Roman" w:eastAsia="Times New Roman" w:hAnsi="Times New Roman" w:cs="Times New Roman"/>
        </w:rPr>
      </w:pPr>
      <w:r w:rsidRPr="00F05EF7">
        <w:rPr>
          <w:rFonts w:ascii="Times New Roman" w:eastAsia="Times New Roman" w:hAnsi="Times New Roman" w:cs="Times New Roman"/>
        </w:rPr>
        <w:t>De igual modo, foram solicitados relatórios emitidos pelos sistemas de contabilidade gerencial dos municípios que demonstrassem todas as alterações orçamentárias (créditos adicionais) realizadas em cada um dos exercícios financeiros, com a indicação das respectivas fontes de recursos utilizadas para a abertura desses créditos. Feito isto, iniciou-se a fase de tabulação dos dados, de modo a atingir cada um dos objetivos específicos deste trabalho.</w:t>
      </w:r>
    </w:p>
    <w:p w14:paraId="10A604BD" w14:textId="77777777" w:rsidR="00821527" w:rsidRPr="00F05EF7" w:rsidRDefault="0010504B" w:rsidP="00AD5592">
      <w:pPr>
        <w:pBdr>
          <w:top w:val="nil"/>
          <w:left w:val="nil"/>
          <w:bottom w:val="nil"/>
          <w:right w:val="nil"/>
          <w:between w:val="nil"/>
        </w:pBdr>
        <w:ind w:firstLine="720"/>
        <w:jc w:val="both"/>
        <w:rPr>
          <w:rFonts w:ascii="Times New Roman" w:eastAsia="Times New Roman" w:hAnsi="Times New Roman" w:cs="Times New Roman"/>
        </w:rPr>
      </w:pPr>
      <w:r w:rsidRPr="00F05EF7">
        <w:rPr>
          <w:rFonts w:ascii="Times New Roman" w:eastAsia="Times New Roman" w:hAnsi="Times New Roman" w:cs="Times New Roman"/>
        </w:rPr>
        <w:t xml:space="preserve">Nesse sentido Gil (2010), esclarece que uma pesquisa documental utiliza de materiais que podem sofrer readequação conforme o objetivo da pesquisa. Logo, os dados disponíveis </w:t>
      </w:r>
      <w:r w:rsidRPr="00F05EF7">
        <w:rPr>
          <w:rFonts w:ascii="Times New Roman" w:eastAsia="Times New Roman" w:hAnsi="Times New Roman" w:cs="Times New Roman"/>
        </w:rPr>
        <w:lastRenderedPageBreak/>
        <w:t>em relatórios distintos foram agrupados e sistematizados para embasar o estudo documental desta pesquisa.</w:t>
      </w:r>
    </w:p>
    <w:p w14:paraId="4C108CF1" w14:textId="07FA959D" w:rsidR="00821527" w:rsidRPr="00F05EF7" w:rsidRDefault="0010504B" w:rsidP="00AD5592">
      <w:pPr>
        <w:pBdr>
          <w:top w:val="nil"/>
          <w:left w:val="nil"/>
          <w:bottom w:val="nil"/>
          <w:right w:val="nil"/>
          <w:between w:val="nil"/>
        </w:pBdr>
        <w:ind w:firstLine="720"/>
        <w:jc w:val="both"/>
        <w:rPr>
          <w:rFonts w:ascii="Times New Roman" w:eastAsia="Times New Roman" w:hAnsi="Times New Roman" w:cs="Times New Roman"/>
        </w:rPr>
      </w:pPr>
      <w:r w:rsidRPr="00F05EF7">
        <w:rPr>
          <w:rFonts w:ascii="Times New Roman" w:eastAsia="Times New Roman" w:hAnsi="Times New Roman" w:cs="Times New Roman"/>
        </w:rPr>
        <w:t xml:space="preserve">Para atender aos primeiros objetivos específicos do trabalho, que consistiram na identificação dos quantitativos anuais de retificações orçamentárias (créditos adicionais) realizadas por cada ente público, por tipo e fonte de recurso, assim como a apuração dos respectivos percentuais utilizou-se o programa </w:t>
      </w:r>
      <w:r w:rsidRPr="00F05EF7">
        <w:rPr>
          <w:rFonts w:ascii="Times New Roman" w:eastAsia="Times New Roman" w:hAnsi="Times New Roman" w:cs="Times New Roman"/>
          <w:i/>
        </w:rPr>
        <w:t>Microsoft Excel</w:t>
      </w:r>
      <w:r w:rsidRPr="00F05EF7">
        <w:rPr>
          <w:rFonts w:ascii="Times New Roman" w:eastAsia="Times New Roman" w:hAnsi="Times New Roman" w:cs="Times New Roman"/>
        </w:rPr>
        <w:t>. Para tanto, primeiramente os dados constantes nos relatórios foram segregados por municípios, após por exercícios financeiros e agrupados em tabelas</w:t>
      </w:r>
      <w:r w:rsidR="00E25849" w:rsidRPr="00F05EF7">
        <w:rPr>
          <w:rFonts w:ascii="Times New Roman" w:eastAsia="Times New Roman" w:hAnsi="Times New Roman" w:cs="Times New Roman"/>
        </w:rPr>
        <w:t>, de modo</w:t>
      </w:r>
      <w:r w:rsidRPr="00F05EF7">
        <w:rPr>
          <w:rFonts w:ascii="Times New Roman" w:eastAsia="Times New Roman" w:hAnsi="Times New Roman" w:cs="Times New Roman"/>
        </w:rPr>
        <w:t xml:space="preserve"> que representassem os valores individuais e totais utilizados por tipos e fontes de recurso, o que acabou permitindo a análise e apuração </w:t>
      </w:r>
      <w:r w:rsidR="00E25849" w:rsidRPr="00F05EF7">
        <w:rPr>
          <w:rFonts w:ascii="Times New Roman" w:eastAsia="Times New Roman" w:hAnsi="Times New Roman" w:cs="Times New Roman"/>
        </w:rPr>
        <w:t>dessas informações</w:t>
      </w:r>
      <w:r w:rsidRPr="00F05EF7">
        <w:rPr>
          <w:rFonts w:ascii="Times New Roman" w:eastAsia="Times New Roman" w:hAnsi="Times New Roman" w:cs="Times New Roman"/>
        </w:rPr>
        <w:t>.</w:t>
      </w:r>
    </w:p>
    <w:p w14:paraId="31FBE1ED" w14:textId="17E7CE18" w:rsidR="00821527" w:rsidRPr="00F05EF7" w:rsidRDefault="0010504B" w:rsidP="00AD5592">
      <w:pPr>
        <w:pBdr>
          <w:top w:val="nil"/>
          <w:left w:val="nil"/>
          <w:bottom w:val="nil"/>
          <w:right w:val="nil"/>
          <w:between w:val="nil"/>
        </w:pBdr>
        <w:ind w:firstLine="720"/>
        <w:jc w:val="both"/>
        <w:rPr>
          <w:rFonts w:ascii="Times New Roman" w:eastAsia="Times New Roman" w:hAnsi="Times New Roman" w:cs="Times New Roman"/>
        </w:rPr>
      </w:pPr>
      <w:r w:rsidRPr="00F05EF7">
        <w:rPr>
          <w:rFonts w:ascii="Times New Roman" w:eastAsia="Times New Roman" w:hAnsi="Times New Roman" w:cs="Times New Roman"/>
        </w:rPr>
        <w:t xml:space="preserve">A disposição dos dados nas tabelas e os cálculos estatísticos permitiram atingir o objetivo específico de verificação das fontes de recursos mais utilizadas para abertura dos créditos adicionais. Por fim, as demais análises (conjuntas), permitiram o atingimento dos demais objetivos específicos da pesquisa, tais como inferir sobre a cultura de utilização do instituto dos créditos adicionais por cada um dos entes públicos, possibilitando inferir se é ou não consciente e atinge a finalidade da norma, assim como propor </w:t>
      </w:r>
      <w:r w:rsidR="00157D28" w:rsidRPr="00F05EF7">
        <w:rPr>
          <w:rFonts w:ascii="Times New Roman" w:eastAsia="Times New Roman" w:hAnsi="Times New Roman" w:cs="Times New Roman"/>
        </w:rPr>
        <w:t>ações</w:t>
      </w:r>
      <w:r w:rsidRPr="00F05EF7">
        <w:rPr>
          <w:rFonts w:ascii="Times New Roman" w:eastAsia="Times New Roman" w:hAnsi="Times New Roman" w:cs="Times New Roman"/>
        </w:rPr>
        <w:t xml:space="preserve"> de melhoria para os casos em que se observou aparente e significativa distorção na utilização dos créditos adicionais.</w:t>
      </w:r>
    </w:p>
    <w:p w14:paraId="086BA351" w14:textId="77777777" w:rsidR="00E970E0" w:rsidRPr="00F05EF7" w:rsidRDefault="00E970E0" w:rsidP="00AD5592">
      <w:pPr>
        <w:pBdr>
          <w:top w:val="nil"/>
          <w:left w:val="nil"/>
          <w:bottom w:val="nil"/>
          <w:right w:val="nil"/>
          <w:between w:val="nil"/>
        </w:pBdr>
        <w:ind w:firstLine="720"/>
        <w:jc w:val="both"/>
        <w:rPr>
          <w:rFonts w:ascii="Tahoma" w:eastAsia="Tahoma" w:hAnsi="Tahoma" w:cs="Tahoma"/>
          <w:sz w:val="17"/>
          <w:szCs w:val="17"/>
        </w:rPr>
      </w:pPr>
    </w:p>
    <w:p w14:paraId="3C96992E" w14:textId="47DAA2D2" w:rsidR="00821527" w:rsidRDefault="00F9587A" w:rsidP="00AF0520">
      <w:pPr>
        <w:pStyle w:val="Ttulo1"/>
        <w:ind w:firstLine="709"/>
        <w:rPr>
          <w:rFonts w:ascii="Times New Roman" w:eastAsia="Times New Roman" w:hAnsi="Times New Roman" w:cs="Times New Roman"/>
        </w:rPr>
      </w:pPr>
      <w:bookmarkStart w:id="14" w:name="_Toc17376032"/>
      <w:r>
        <w:rPr>
          <w:rFonts w:ascii="Times New Roman" w:eastAsia="Times New Roman" w:hAnsi="Times New Roman" w:cs="Times New Roman"/>
        </w:rPr>
        <w:t>4</w:t>
      </w:r>
      <w:r w:rsidR="0010504B" w:rsidRPr="00F05EF7">
        <w:rPr>
          <w:rFonts w:ascii="Times New Roman" w:eastAsia="Times New Roman" w:hAnsi="Times New Roman" w:cs="Times New Roman"/>
        </w:rPr>
        <w:t xml:space="preserve"> RESULTADOS E DISCUSSÕES</w:t>
      </w:r>
      <w:bookmarkEnd w:id="14"/>
    </w:p>
    <w:p w14:paraId="29A53C50" w14:textId="77777777" w:rsidR="00F9587A" w:rsidRPr="00F9587A" w:rsidRDefault="00F9587A" w:rsidP="00AD5592"/>
    <w:p w14:paraId="79D75E72" w14:textId="45AFE2F1" w:rsidR="00821527" w:rsidRPr="00F05EF7" w:rsidRDefault="00276891" w:rsidP="00AD5592">
      <w:pPr>
        <w:widowControl w:val="0"/>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Inicialmente, foram apurados os totais da despesa executada de todos os municípios objetos deste estudo, por exercício financeiro estudado. </w:t>
      </w:r>
      <w:r w:rsidR="0010504B" w:rsidRPr="00F05EF7">
        <w:rPr>
          <w:rFonts w:ascii="Times New Roman" w:eastAsia="Times New Roman" w:hAnsi="Times New Roman" w:cs="Times New Roman"/>
        </w:rPr>
        <w:t xml:space="preserve">Uma vez apurados os montantes de despesa executada pelos municípios, passou-se a analisar as alterações orçamentárias realizadas por cada um deles, com vistas a </w:t>
      </w:r>
      <w:r w:rsidRPr="00F05EF7">
        <w:rPr>
          <w:rFonts w:ascii="Times New Roman" w:eastAsia="Times New Roman" w:hAnsi="Times New Roman" w:cs="Times New Roman"/>
        </w:rPr>
        <w:t>identificar</w:t>
      </w:r>
      <w:r w:rsidR="0010504B" w:rsidRPr="00F05EF7">
        <w:rPr>
          <w:rFonts w:ascii="Times New Roman" w:eastAsia="Times New Roman" w:hAnsi="Times New Roman" w:cs="Times New Roman"/>
        </w:rPr>
        <w:t xml:space="preserve"> os valores dos créditos adicionais abertos nos exercícios financeiros compreendidos entr</w:t>
      </w:r>
      <w:r w:rsidRPr="00F05EF7">
        <w:rPr>
          <w:rFonts w:ascii="Times New Roman" w:eastAsia="Times New Roman" w:hAnsi="Times New Roman" w:cs="Times New Roman"/>
        </w:rPr>
        <w:t>e 2014 e 2018.</w:t>
      </w:r>
    </w:p>
    <w:p w14:paraId="346E9B85" w14:textId="4307A3BA" w:rsidR="00821527" w:rsidRDefault="0010504B" w:rsidP="00AD5592">
      <w:pPr>
        <w:widowControl w:val="0"/>
        <w:pBdr>
          <w:top w:val="nil"/>
          <w:left w:val="nil"/>
          <w:bottom w:val="nil"/>
          <w:right w:val="nil"/>
          <w:between w:val="nil"/>
        </w:pBdr>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Sendo assim, as tabelas a seguir apresentam os valores totais, em </w:t>
      </w:r>
      <w:r w:rsidR="00D529B6" w:rsidRPr="00F05EF7">
        <w:rPr>
          <w:rFonts w:ascii="Times New Roman" w:eastAsia="Times New Roman" w:hAnsi="Times New Roman" w:cs="Times New Roman"/>
        </w:rPr>
        <w:t>percentuais</w:t>
      </w:r>
      <w:r w:rsidRPr="00F05EF7">
        <w:rPr>
          <w:rFonts w:ascii="Times New Roman" w:eastAsia="Times New Roman" w:hAnsi="Times New Roman" w:cs="Times New Roman"/>
        </w:rPr>
        <w:t>, d</w:t>
      </w:r>
      <w:r w:rsidR="00664A28" w:rsidRPr="00F05EF7">
        <w:rPr>
          <w:rFonts w:ascii="Times New Roman" w:eastAsia="Times New Roman" w:hAnsi="Times New Roman" w:cs="Times New Roman"/>
        </w:rPr>
        <w:t>os</w:t>
      </w:r>
      <w:r w:rsidRPr="00F05EF7">
        <w:rPr>
          <w:rFonts w:ascii="Times New Roman" w:eastAsia="Times New Roman" w:hAnsi="Times New Roman" w:cs="Times New Roman"/>
        </w:rPr>
        <w:t xml:space="preserve"> créditos adicionais abertos </w:t>
      </w:r>
      <w:r w:rsidR="00664A28" w:rsidRPr="00F05EF7">
        <w:rPr>
          <w:rFonts w:ascii="Times New Roman" w:eastAsia="Times New Roman" w:hAnsi="Times New Roman" w:cs="Times New Roman"/>
        </w:rPr>
        <w:t>pelos municípios</w:t>
      </w:r>
      <w:r w:rsidR="00D529B6" w:rsidRPr="00F05EF7">
        <w:rPr>
          <w:rFonts w:ascii="Times New Roman" w:eastAsia="Times New Roman" w:hAnsi="Times New Roman" w:cs="Times New Roman"/>
        </w:rPr>
        <w:t>, comparados com o total da despesa executada</w:t>
      </w:r>
      <w:r w:rsidR="00957C2B">
        <w:rPr>
          <w:rFonts w:ascii="Times New Roman" w:eastAsia="Times New Roman" w:hAnsi="Times New Roman" w:cs="Times New Roman"/>
        </w:rPr>
        <w:t xml:space="preserve"> no ano correspondente</w:t>
      </w:r>
      <w:r w:rsidRPr="00F05EF7">
        <w:rPr>
          <w:rFonts w:ascii="Times New Roman" w:eastAsia="Times New Roman" w:hAnsi="Times New Roman" w:cs="Times New Roman"/>
        </w:rPr>
        <w:t xml:space="preserve">. </w:t>
      </w:r>
      <w:r w:rsidR="00D529B6" w:rsidRPr="00F05EF7">
        <w:rPr>
          <w:rFonts w:ascii="Times New Roman" w:eastAsia="Times New Roman" w:hAnsi="Times New Roman" w:cs="Times New Roman"/>
        </w:rPr>
        <w:t>Ou seja, t</w:t>
      </w:r>
      <w:r w:rsidRPr="00F05EF7">
        <w:rPr>
          <w:rFonts w:ascii="Times New Roman" w:eastAsia="Times New Roman" w:hAnsi="Times New Roman" w:cs="Times New Roman"/>
        </w:rPr>
        <w:t xml:space="preserve">ais valores correspondem </w:t>
      </w:r>
      <w:r w:rsidR="00664A28" w:rsidRPr="00F05EF7">
        <w:rPr>
          <w:rFonts w:ascii="Times New Roman" w:eastAsia="Times New Roman" w:hAnsi="Times New Roman" w:cs="Times New Roman"/>
        </w:rPr>
        <w:t>a</w:t>
      </w:r>
      <w:r w:rsidRPr="00F05EF7">
        <w:rPr>
          <w:rFonts w:ascii="Times New Roman" w:eastAsia="Times New Roman" w:hAnsi="Times New Roman" w:cs="Times New Roman"/>
        </w:rPr>
        <w:t>o total dos créditos adicionais abertos, ou seja, à soma dos créditos adicionais do tipo suplementar, especial e extraordinário e estão expressos</w:t>
      </w:r>
      <w:r w:rsidR="00664A28" w:rsidRPr="00F05EF7">
        <w:rPr>
          <w:rFonts w:ascii="Times New Roman" w:eastAsia="Times New Roman" w:hAnsi="Times New Roman" w:cs="Times New Roman"/>
        </w:rPr>
        <w:t xml:space="preserve"> em </w:t>
      </w:r>
      <w:r w:rsidR="00D529B6" w:rsidRPr="00F05EF7">
        <w:rPr>
          <w:rFonts w:ascii="Times New Roman" w:eastAsia="Times New Roman" w:hAnsi="Times New Roman" w:cs="Times New Roman"/>
        </w:rPr>
        <w:t>percentual</w:t>
      </w:r>
      <w:r w:rsidR="00664A28" w:rsidRPr="00F05EF7">
        <w:rPr>
          <w:rFonts w:ascii="Times New Roman" w:eastAsia="Times New Roman" w:hAnsi="Times New Roman" w:cs="Times New Roman"/>
        </w:rPr>
        <w:t>,</w:t>
      </w:r>
      <w:r w:rsidRPr="00F05EF7">
        <w:rPr>
          <w:rFonts w:ascii="Times New Roman" w:eastAsia="Times New Roman" w:hAnsi="Times New Roman" w:cs="Times New Roman"/>
        </w:rPr>
        <w:t xml:space="preserve"> por exercício financeiro</w:t>
      </w:r>
      <w:r w:rsidR="00664A28" w:rsidRPr="00F05EF7">
        <w:rPr>
          <w:rFonts w:ascii="Times New Roman" w:eastAsia="Times New Roman" w:hAnsi="Times New Roman" w:cs="Times New Roman"/>
        </w:rPr>
        <w:t>, com a respectiva média no município, considerando-se os cinco exercícios financeiros analisados</w:t>
      </w:r>
      <w:r w:rsidRPr="00F05EF7">
        <w:rPr>
          <w:rFonts w:ascii="Times New Roman" w:eastAsia="Times New Roman" w:hAnsi="Times New Roman" w:cs="Times New Roman"/>
        </w:rPr>
        <w:t>.</w:t>
      </w:r>
    </w:p>
    <w:p w14:paraId="1720E82C" w14:textId="77777777" w:rsidR="00F9587A" w:rsidRPr="00F05EF7" w:rsidRDefault="00F9587A" w:rsidP="00AD5592">
      <w:pPr>
        <w:widowControl w:val="0"/>
        <w:pBdr>
          <w:top w:val="nil"/>
          <w:left w:val="nil"/>
          <w:bottom w:val="nil"/>
          <w:right w:val="nil"/>
          <w:between w:val="nil"/>
        </w:pBdr>
        <w:ind w:firstLine="709"/>
        <w:jc w:val="both"/>
        <w:rPr>
          <w:rFonts w:ascii="Times New Roman" w:eastAsia="Times New Roman" w:hAnsi="Times New Roman" w:cs="Times New Roman"/>
        </w:rPr>
      </w:pPr>
    </w:p>
    <w:p w14:paraId="12510387" w14:textId="33BD2FAC"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1C4197" w:rsidRPr="00AF0520">
        <w:rPr>
          <w:rFonts w:ascii="Times New Roman" w:eastAsia="Times New Roman" w:hAnsi="Times New Roman" w:cs="Times New Roman"/>
          <w:b/>
          <w:bCs/>
        </w:rPr>
        <w:t>1</w:t>
      </w:r>
      <w:r w:rsidRPr="00AF0520">
        <w:rPr>
          <w:rFonts w:ascii="Times New Roman" w:eastAsia="Times New Roman" w:hAnsi="Times New Roman" w:cs="Times New Roman"/>
          <w:b/>
          <w:bCs/>
        </w:rPr>
        <w:t xml:space="preserve"> – Representatividade dos créditos adicionais abertos. </w:t>
      </w:r>
    </w:p>
    <w:tbl>
      <w:tblPr>
        <w:tblStyle w:val="a9"/>
        <w:tblW w:w="10168" w:type="dxa"/>
        <w:jc w:val="center"/>
        <w:tblInd w:w="0" w:type="dxa"/>
        <w:tblLayout w:type="fixed"/>
        <w:tblLook w:val="0400" w:firstRow="0" w:lastRow="0" w:firstColumn="0" w:lastColumn="0" w:noHBand="0" w:noVBand="1"/>
      </w:tblPr>
      <w:tblGrid>
        <w:gridCol w:w="1274"/>
        <w:gridCol w:w="885"/>
        <w:gridCol w:w="1318"/>
        <w:gridCol w:w="1130"/>
        <w:gridCol w:w="1124"/>
        <w:gridCol w:w="993"/>
        <w:gridCol w:w="1185"/>
        <w:gridCol w:w="1152"/>
        <w:gridCol w:w="1107"/>
      </w:tblGrid>
      <w:tr w:rsidR="00F05EF7" w:rsidRPr="00F05EF7" w14:paraId="1213AAA3" w14:textId="77777777">
        <w:trPr>
          <w:trHeight w:val="540"/>
          <w:jc w:val="center"/>
        </w:trPr>
        <w:tc>
          <w:tcPr>
            <w:tcW w:w="1274" w:type="dxa"/>
            <w:tcBorders>
              <w:top w:val="single" w:sz="4" w:space="0" w:color="000000"/>
              <w:left w:val="nil"/>
              <w:bottom w:val="single" w:sz="4" w:space="0" w:color="000000"/>
              <w:right w:val="single" w:sz="4" w:space="0" w:color="000000"/>
            </w:tcBorders>
            <w:shd w:val="clear" w:color="auto" w:fill="auto"/>
            <w:vAlign w:val="center"/>
          </w:tcPr>
          <w:p w14:paraId="49010D1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MUNICÍPIO / ANO</w:t>
            </w:r>
          </w:p>
        </w:tc>
        <w:tc>
          <w:tcPr>
            <w:tcW w:w="885" w:type="dxa"/>
            <w:tcBorders>
              <w:top w:val="single" w:sz="4" w:space="0" w:color="000000"/>
              <w:left w:val="nil"/>
              <w:bottom w:val="single" w:sz="4" w:space="0" w:color="000000"/>
              <w:right w:val="single" w:sz="4" w:space="0" w:color="000000"/>
            </w:tcBorders>
            <w:shd w:val="clear" w:color="auto" w:fill="auto"/>
            <w:vAlign w:val="center"/>
          </w:tcPr>
          <w:p w14:paraId="485FE3E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AGUDO</w:t>
            </w:r>
          </w:p>
        </w:tc>
        <w:tc>
          <w:tcPr>
            <w:tcW w:w="1318" w:type="dxa"/>
            <w:tcBorders>
              <w:top w:val="single" w:sz="4" w:space="0" w:color="000000"/>
              <w:left w:val="nil"/>
              <w:bottom w:val="single" w:sz="4" w:space="0" w:color="000000"/>
              <w:right w:val="single" w:sz="4" w:space="0" w:color="000000"/>
            </w:tcBorders>
            <w:shd w:val="clear" w:color="auto" w:fill="auto"/>
            <w:vAlign w:val="center"/>
          </w:tcPr>
          <w:p w14:paraId="21B7DA4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DONA FRANCISCA</w:t>
            </w:r>
          </w:p>
        </w:tc>
        <w:tc>
          <w:tcPr>
            <w:tcW w:w="1130" w:type="dxa"/>
            <w:tcBorders>
              <w:top w:val="single" w:sz="4" w:space="0" w:color="000000"/>
              <w:left w:val="nil"/>
              <w:bottom w:val="single" w:sz="4" w:space="0" w:color="000000"/>
              <w:right w:val="single" w:sz="4" w:space="0" w:color="000000"/>
            </w:tcBorders>
            <w:shd w:val="clear" w:color="auto" w:fill="auto"/>
            <w:vAlign w:val="center"/>
          </w:tcPr>
          <w:p w14:paraId="253CE3A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FAXINAL DO SOTURNO</w:t>
            </w:r>
          </w:p>
        </w:tc>
        <w:tc>
          <w:tcPr>
            <w:tcW w:w="1124" w:type="dxa"/>
            <w:tcBorders>
              <w:top w:val="single" w:sz="4" w:space="0" w:color="000000"/>
              <w:left w:val="nil"/>
              <w:bottom w:val="single" w:sz="4" w:space="0" w:color="000000"/>
              <w:right w:val="single" w:sz="4" w:space="0" w:color="000000"/>
            </w:tcBorders>
            <w:shd w:val="clear" w:color="auto" w:fill="auto"/>
            <w:vAlign w:val="center"/>
          </w:tcPr>
          <w:p w14:paraId="2BF74B8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FORMIGUEIRO</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91A22A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IVORÁ</w:t>
            </w:r>
          </w:p>
        </w:tc>
        <w:tc>
          <w:tcPr>
            <w:tcW w:w="1185" w:type="dxa"/>
            <w:tcBorders>
              <w:top w:val="single" w:sz="4" w:space="0" w:color="000000"/>
              <w:left w:val="nil"/>
              <w:bottom w:val="single" w:sz="4" w:space="0" w:color="000000"/>
              <w:right w:val="single" w:sz="4" w:space="0" w:color="000000"/>
            </w:tcBorders>
            <w:shd w:val="clear" w:color="auto" w:fill="auto"/>
            <w:vAlign w:val="center"/>
          </w:tcPr>
          <w:p w14:paraId="0AB171D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RESTINGA SÊCA</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5468E58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SÃO JOÃO DO POLÊSINE</w:t>
            </w:r>
          </w:p>
        </w:tc>
        <w:tc>
          <w:tcPr>
            <w:tcW w:w="1107" w:type="dxa"/>
            <w:tcBorders>
              <w:top w:val="single" w:sz="4" w:space="0" w:color="000000"/>
              <w:left w:val="nil"/>
              <w:bottom w:val="single" w:sz="4" w:space="0" w:color="000000"/>
              <w:right w:val="nil"/>
            </w:tcBorders>
            <w:shd w:val="clear" w:color="auto" w:fill="auto"/>
            <w:vAlign w:val="center"/>
          </w:tcPr>
          <w:p w14:paraId="573B1EA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SILVEIRA MARTINS</w:t>
            </w:r>
          </w:p>
        </w:tc>
      </w:tr>
      <w:tr w:rsidR="00F05EF7" w:rsidRPr="00F05EF7" w14:paraId="6E04547A" w14:textId="77777777">
        <w:trPr>
          <w:trHeight w:val="260"/>
          <w:jc w:val="center"/>
        </w:trPr>
        <w:tc>
          <w:tcPr>
            <w:tcW w:w="1274" w:type="dxa"/>
            <w:tcBorders>
              <w:top w:val="nil"/>
              <w:left w:val="nil"/>
              <w:bottom w:val="single" w:sz="4" w:space="0" w:color="000000"/>
              <w:right w:val="single" w:sz="4" w:space="0" w:color="000000"/>
            </w:tcBorders>
            <w:shd w:val="clear" w:color="auto" w:fill="auto"/>
            <w:vAlign w:val="center"/>
          </w:tcPr>
          <w:p w14:paraId="1785EB0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885" w:type="dxa"/>
            <w:tcBorders>
              <w:top w:val="nil"/>
              <w:left w:val="nil"/>
              <w:bottom w:val="single" w:sz="4" w:space="0" w:color="000000"/>
              <w:right w:val="single" w:sz="4" w:space="0" w:color="000000"/>
            </w:tcBorders>
            <w:shd w:val="clear" w:color="auto" w:fill="auto"/>
            <w:vAlign w:val="center"/>
          </w:tcPr>
          <w:p w14:paraId="0795839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34,15%</w:t>
            </w:r>
          </w:p>
        </w:tc>
        <w:tc>
          <w:tcPr>
            <w:tcW w:w="1318" w:type="dxa"/>
            <w:tcBorders>
              <w:top w:val="nil"/>
              <w:left w:val="nil"/>
              <w:bottom w:val="single" w:sz="4" w:space="0" w:color="000000"/>
              <w:right w:val="single" w:sz="4" w:space="0" w:color="000000"/>
            </w:tcBorders>
            <w:shd w:val="clear" w:color="auto" w:fill="auto"/>
            <w:vAlign w:val="center"/>
          </w:tcPr>
          <w:p w14:paraId="0DE720B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27,57%</w:t>
            </w:r>
          </w:p>
        </w:tc>
        <w:tc>
          <w:tcPr>
            <w:tcW w:w="1130" w:type="dxa"/>
            <w:tcBorders>
              <w:top w:val="nil"/>
              <w:left w:val="nil"/>
              <w:bottom w:val="single" w:sz="4" w:space="0" w:color="000000"/>
              <w:right w:val="single" w:sz="4" w:space="0" w:color="000000"/>
            </w:tcBorders>
            <w:shd w:val="clear" w:color="auto" w:fill="auto"/>
            <w:vAlign w:val="center"/>
          </w:tcPr>
          <w:p w14:paraId="76DEB79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29,85%</w:t>
            </w:r>
          </w:p>
        </w:tc>
        <w:tc>
          <w:tcPr>
            <w:tcW w:w="1124" w:type="dxa"/>
            <w:tcBorders>
              <w:top w:val="nil"/>
              <w:left w:val="nil"/>
              <w:bottom w:val="single" w:sz="4" w:space="0" w:color="000000"/>
              <w:right w:val="single" w:sz="4" w:space="0" w:color="000000"/>
            </w:tcBorders>
            <w:shd w:val="clear" w:color="auto" w:fill="auto"/>
            <w:vAlign w:val="center"/>
          </w:tcPr>
          <w:p w14:paraId="5934FA2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60,12%</w:t>
            </w:r>
          </w:p>
        </w:tc>
        <w:tc>
          <w:tcPr>
            <w:tcW w:w="993" w:type="dxa"/>
            <w:tcBorders>
              <w:top w:val="nil"/>
              <w:left w:val="nil"/>
              <w:bottom w:val="single" w:sz="4" w:space="0" w:color="000000"/>
              <w:right w:val="single" w:sz="4" w:space="0" w:color="000000"/>
            </w:tcBorders>
            <w:shd w:val="clear" w:color="auto" w:fill="auto"/>
            <w:vAlign w:val="center"/>
          </w:tcPr>
          <w:p w14:paraId="606DD1A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37,70%</w:t>
            </w:r>
          </w:p>
        </w:tc>
        <w:tc>
          <w:tcPr>
            <w:tcW w:w="1185" w:type="dxa"/>
            <w:tcBorders>
              <w:top w:val="nil"/>
              <w:left w:val="nil"/>
              <w:bottom w:val="single" w:sz="4" w:space="0" w:color="000000"/>
              <w:right w:val="single" w:sz="4" w:space="0" w:color="000000"/>
            </w:tcBorders>
            <w:shd w:val="clear" w:color="auto" w:fill="auto"/>
            <w:vAlign w:val="center"/>
          </w:tcPr>
          <w:p w14:paraId="70100C6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45,97%</w:t>
            </w:r>
          </w:p>
        </w:tc>
        <w:tc>
          <w:tcPr>
            <w:tcW w:w="1152" w:type="dxa"/>
            <w:tcBorders>
              <w:top w:val="nil"/>
              <w:left w:val="nil"/>
              <w:bottom w:val="single" w:sz="4" w:space="0" w:color="000000"/>
              <w:right w:val="single" w:sz="4" w:space="0" w:color="000000"/>
            </w:tcBorders>
            <w:shd w:val="clear" w:color="auto" w:fill="auto"/>
            <w:vAlign w:val="center"/>
          </w:tcPr>
          <w:p w14:paraId="32B9332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22,47%</w:t>
            </w:r>
          </w:p>
        </w:tc>
        <w:tc>
          <w:tcPr>
            <w:tcW w:w="1107" w:type="dxa"/>
            <w:tcBorders>
              <w:top w:val="nil"/>
              <w:left w:val="nil"/>
              <w:bottom w:val="single" w:sz="4" w:space="0" w:color="000000"/>
              <w:right w:val="nil"/>
            </w:tcBorders>
            <w:shd w:val="clear" w:color="auto" w:fill="auto"/>
            <w:vAlign w:val="center"/>
          </w:tcPr>
          <w:p w14:paraId="05ECF1C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30,91%</w:t>
            </w:r>
          </w:p>
        </w:tc>
      </w:tr>
      <w:tr w:rsidR="00F05EF7" w:rsidRPr="00F05EF7" w14:paraId="355FACB1" w14:textId="77777777">
        <w:trPr>
          <w:trHeight w:val="260"/>
          <w:jc w:val="center"/>
        </w:trPr>
        <w:tc>
          <w:tcPr>
            <w:tcW w:w="1274" w:type="dxa"/>
            <w:tcBorders>
              <w:top w:val="nil"/>
              <w:left w:val="nil"/>
              <w:bottom w:val="single" w:sz="4" w:space="0" w:color="000000"/>
              <w:right w:val="single" w:sz="4" w:space="0" w:color="000000"/>
            </w:tcBorders>
            <w:shd w:val="clear" w:color="auto" w:fill="auto"/>
            <w:vAlign w:val="center"/>
          </w:tcPr>
          <w:p w14:paraId="3729CFD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885" w:type="dxa"/>
            <w:tcBorders>
              <w:top w:val="nil"/>
              <w:left w:val="nil"/>
              <w:bottom w:val="single" w:sz="4" w:space="0" w:color="000000"/>
              <w:right w:val="single" w:sz="4" w:space="0" w:color="000000"/>
            </w:tcBorders>
            <w:shd w:val="clear" w:color="auto" w:fill="auto"/>
            <w:vAlign w:val="center"/>
          </w:tcPr>
          <w:p w14:paraId="5A167CB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32,29%</w:t>
            </w:r>
          </w:p>
        </w:tc>
        <w:tc>
          <w:tcPr>
            <w:tcW w:w="1318" w:type="dxa"/>
            <w:tcBorders>
              <w:top w:val="nil"/>
              <w:left w:val="nil"/>
              <w:bottom w:val="single" w:sz="4" w:space="0" w:color="000000"/>
              <w:right w:val="single" w:sz="4" w:space="0" w:color="000000"/>
            </w:tcBorders>
            <w:shd w:val="clear" w:color="auto" w:fill="auto"/>
            <w:vAlign w:val="center"/>
          </w:tcPr>
          <w:p w14:paraId="2BBC232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36,18%</w:t>
            </w:r>
          </w:p>
        </w:tc>
        <w:tc>
          <w:tcPr>
            <w:tcW w:w="1130" w:type="dxa"/>
            <w:tcBorders>
              <w:top w:val="nil"/>
              <w:left w:val="nil"/>
              <w:bottom w:val="single" w:sz="4" w:space="0" w:color="000000"/>
              <w:right w:val="single" w:sz="4" w:space="0" w:color="000000"/>
            </w:tcBorders>
            <w:shd w:val="clear" w:color="auto" w:fill="auto"/>
            <w:vAlign w:val="center"/>
          </w:tcPr>
          <w:p w14:paraId="6B9D1D0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15,67%</w:t>
            </w:r>
          </w:p>
        </w:tc>
        <w:tc>
          <w:tcPr>
            <w:tcW w:w="1124" w:type="dxa"/>
            <w:tcBorders>
              <w:top w:val="nil"/>
              <w:left w:val="nil"/>
              <w:bottom w:val="single" w:sz="4" w:space="0" w:color="000000"/>
              <w:right w:val="single" w:sz="4" w:space="0" w:color="000000"/>
            </w:tcBorders>
            <w:shd w:val="clear" w:color="auto" w:fill="auto"/>
            <w:vAlign w:val="center"/>
          </w:tcPr>
          <w:p w14:paraId="056F868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52,52%</w:t>
            </w:r>
          </w:p>
        </w:tc>
        <w:tc>
          <w:tcPr>
            <w:tcW w:w="993" w:type="dxa"/>
            <w:tcBorders>
              <w:top w:val="nil"/>
              <w:left w:val="nil"/>
              <w:bottom w:val="single" w:sz="4" w:space="0" w:color="000000"/>
              <w:right w:val="single" w:sz="4" w:space="0" w:color="000000"/>
            </w:tcBorders>
            <w:shd w:val="clear" w:color="auto" w:fill="auto"/>
            <w:vAlign w:val="center"/>
          </w:tcPr>
          <w:p w14:paraId="22890C5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35,64%</w:t>
            </w:r>
          </w:p>
        </w:tc>
        <w:tc>
          <w:tcPr>
            <w:tcW w:w="1185" w:type="dxa"/>
            <w:tcBorders>
              <w:top w:val="nil"/>
              <w:left w:val="nil"/>
              <w:bottom w:val="single" w:sz="4" w:space="0" w:color="000000"/>
              <w:right w:val="single" w:sz="4" w:space="0" w:color="000000"/>
            </w:tcBorders>
            <w:shd w:val="clear" w:color="auto" w:fill="auto"/>
            <w:vAlign w:val="center"/>
          </w:tcPr>
          <w:p w14:paraId="7EAA2B0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29,78%</w:t>
            </w:r>
          </w:p>
        </w:tc>
        <w:tc>
          <w:tcPr>
            <w:tcW w:w="1152" w:type="dxa"/>
            <w:tcBorders>
              <w:top w:val="nil"/>
              <w:left w:val="nil"/>
              <w:bottom w:val="single" w:sz="4" w:space="0" w:color="000000"/>
              <w:right w:val="single" w:sz="4" w:space="0" w:color="000000"/>
            </w:tcBorders>
            <w:shd w:val="clear" w:color="auto" w:fill="auto"/>
            <w:vAlign w:val="center"/>
          </w:tcPr>
          <w:p w14:paraId="6141C72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15,38%</w:t>
            </w:r>
          </w:p>
        </w:tc>
        <w:tc>
          <w:tcPr>
            <w:tcW w:w="1107" w:type="dxa"/>
            <w:tcBorders>
              <w:top w:val="nil"/>
              <w:left w:val="nil"/>
              <w:bottom w:val="single" w:sz="4" w:space="0" w:color="000000"/>
              <w:right w:val="nil"/>
            </w:tcBorders>
            <w:shd w:val="clear" w:color="auto" w:fill="auto"/>
            <w:vAlign w:val="center"/>
          </w:tcPr>
          <w:p w14:paraId="3382A0C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14,36%</w:t>
            </w:r>
          </w:p>
        </w:tc>
      </w:tr>
      <w:tr w:rsidR="00F05EF7" w:rsidRPr="00F05EF7" w14:paraId="18E0B415" w14:textId="77777777">
        <w:trPr>
          <w:trHeight w:val="260"/>
          <w:jc w:val="center"/>
        </w:trPr>
        <w:tc>
          <w:tcPr>
            <w:tcW w:w="1274" w:type="dxa"/>
            <w:tcBorders>
              <w:top w:val="nil"/>
              <w:left w:val="nil"/>
              <w:bottom w:val="single" w:sz="4" w:space="0" w:color="000000"/>
              <w:right w:val="single" w:sz="4" w:space="0" w:color="000000"/>
            </w:tcBorders>
            <w:shd w:val="clear" w:color="auto" w:fill="auto"/>
            <w:vAlign w:val="center"/>
          </w:tcPr>
          <w:p w14:paraId="3270E26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885" w:type="dxa"/>
            <w:tcBorders>
              <w:top w:val="nil"/>
              <w:left w:val="nil"/>
              <w:bottom w:val="single" w:sz="4" w:space="0" w:color="000000"/>
              <w:right w:val="single" w:sz="4" w:space="0" w:color="000000"/>
            </w:tcBorders>
            <w:shd w:val="clear" w:color="auto" w:fill="auto"/>
            <w:vAlign w:val="center"/>
          </w:tcPr>
          <w:p w14:paraId="2FAB97E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39,57%</w:t>
            </w:r>
          </w:p>
        </w:tc>
        <w:tc>
          <w:tcPr>
            <w:tcW w:w="1318" w:type="dxa"/>
            <w:tcBorders>
              <w:top w:val="nil"/>
              <w:left w:val="nil"/>
              <w:bottom w:val="single" w:sz="4" w:space="0" w:color="000000"/>
              <w:right w:val="single" w:sz="4" w:space="0" w:color="000000"/>
            </w:tcBorders>
            <w:shd w:val="clear" w:color="auto" w:fill="auto"/>
            <w:vAlign w:val="center"/>
          </w:tcPr>
          <w:p w14:paraId="64EEB7F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24,71%</w:t>
            </w:r>
          </w:p>
        </w:tc>
        <w:tc>
          <w:tcPr>
            <w:tcW w:w="1130" w:type="dxa"/>
            <w:tcBorders>
              <w:top w:val="nil"/>
              <w:left w:val="nil"/>
              <w:bottom w:val="single" w:sz="4" w:space="0" w:color="000000"/>
              <w:right w:val="single" w:sz="4" w:space="0" w:color="000000"/>
            </w:tcBorders>
            <w:shd w:val="clear" w:color="auto" w:fill="auto"/>
            <w:vAlign w:val="center"/>
          </w:tcPr>
          <w:p w14:paraId="3513F95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26,91%</w:t>
            </w:r>
          </w:p>
        </w:tc>
        <w:tc>
          <w:tcPr>
            <w:tcW w:w="1124" w:type="dxa"/>
            <w:tcBorders>
              <w:top w:val="nil"/>
              <w:left w:val="nil"/>
              <w:bottom w:val="single" w:sz="4" w:space="0" w:color="000000"/>
              <w:right w:val="single" w:sz="4" w:space="0" w:color="000000"/>
            </w:tcBorders>
            <w:shd w:val="clear" w:color="auto" w:fill="auto"/>
            <w:vAlign w:val="center"/>
          </w:tcPr>
          <w:p w14:paraId="5A512F1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54,68%</w:t>
            </w:r>
          </w:p>
        </w:tc>
        <w:tc>
          <w:tcPr>
            <w:tcW w:w="993" w:type="dxa"/>
            <w:tcBorders>
              <w:top w:val="nil"/>
              <w:left w:val="nil"/>
              <w:bottom w:val="single" w:sz="4" w:space="0" w:color="000000"/>
              <w:right w:val="single" w:sz="4" w:space="0" w:color="000000"/>
            </w:tcBorders>
            <w:shd w:val="clear" w:color="auto" w:fill="auto"/>
            <w:vAlign w:val="center"/>
          </w:tcPr>
          <w:p w14:paraId="7788267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24,49%</w:t>
            </w:r>
          </w:p>
        </w:tc>
        <w:tc>
          <w:tcPr>
            <w:tcW w:w="1185" w:type="dxa"/>
            <w:tcBorders>
              <w:top w:val="nil"/>
              <w:left w:val="nil"/>
              <w:bottom w:val="single" w:sz="4" w:space="0" w:color="000000"/>
              <w:right w:val="single" w:sz="4" w:space="0" w:color="000000"/>
            </w:tcBorders>
            <w:shd w:val="clear" w:color="auto" w:fill="auto"/>
            <w:vAlign w:val="center"/>
          </w:tcPr>
          <w:p w14:paraId="3D38D4B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40,62%</w:t>
            </w:r>
          </w:p>
        </w:tc>
        <w:tc>
          <w:tcPr>
            <w:tcW w:w="1152" w:type="dxa"/>
            <w:tcBorders>
              <w:top w:val="nil"/>
              <w:left w:val="nil"/>
              <w:bottom w:val="single" w:sz="4" w:space="0" w:color="000000"/>
              <w:right w:val="single" w:sz="4" w:space="0" w:color="000000"/>
            </w:tcBorders>
            <w:shd w:val="clear" w:color="auto" w:fill="auto"/>
            <w:vAlign w:val="center"/>
          </w:tcPr>
          <w:p w14:paraId="484615F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14,33%</w:t>
            </w:r>
          </w:p>
        </w:tc>
        <w:tc>
          <w:tcPr>
            <w:tcW w:w="1107" w:type="dxa"/>
            <w:tcBorders>
              <w:top w:val="nil"/>
              <w:left w:val="nil"/>
              <w:bottom w:val="single" w:sz="4" w:space="0" w:color="000000"/>
              <w:right w:val="nil"/>
            </w:tcBorders>
            <w:shd w:val="clear" w:color="auto" w:fill="auto"/>
            <w:vAlign w:val="center"/>
          </w:tcPr>
          <w:p w14:paraId="43C5DDF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21,50%</w:t>
            </w:r>
          </w:p>
        </w:tc>
      </w:tr>
      <w:tr w:rsidR="00F05EF7" w:rsidRPr="00F05EF7" w14:paraId="5DDD1E42" w14:textId="77777777">
        <w:trPr>
          <w:trHeight w:val="260"/>
          <w:jc w:val="center"/>
        </w:trPr>
        <w:tc>
          <w:tcPr>
            <w:tcW w:w="1274" w:type="dxa"/>
            <w:tcBorders>
              <w:top w:val="nil"/>
              <w:left w:val="nil"/>
              <w:bottom w:val="single" w:sz="4" w:space="0" w:color="000000"/>
              <w:right w:val="single" w:sz="4" w:space="0" w:color="000000"/>
            </w:tcBorders>
            <w:shd w:val="clear" w:color="auto" w:fill="auto"/>
            <w:vAlign w:val="center"/>
          </w:tcPr>
          <w:p w14:paraId="7F694651"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885" w:type="dxa"/>
            <w:tcBorders>
              <w:top w:val="nil"/>
              <w:left w:val="nil"/>
              <w:bottom w:val="single" w:sz="4" w:space="0" w:color="000000"/>
              <w:right w:val="single" w:sz="4" w:space="0" w:color="000000"/>
            </w:tcBorders>
            <w:shd w:val="clear" w:color="auto" w:fill="auto"/>
            <w:vAlign w:val="center"/>
          </w:tcPr>
          <w:p w14:paraId="04BB969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24,17%</w:t>
            </w:r>
          </w:p>
        </w:tc>
        <w:tc>
          <w:tcPr>
            <w:tcW w:w="1318" w:type="dxa"/>
            <w:tcBorders>
              <w:top w:val="nil"/>
              <w:left w:val="nil"/>
              <w:bottom w:val="single" w:sz="4" w:space="0" w:color="000000"/>
              <w:right w:val="single" w:sz="4" w:space="0" w:color="000000"/>
            </w:tcBorders>
            <w:shd w:val="clear" w:color="auto" w:fill="auto"/>
            <w:vAlign w:val="center"/>
          </w:tcPr>
          <w:p w14:paraId="2B8C56B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39,42%</w:t>
            </w:r>
          </w:p>
        </w:tc>
        <w:tc>
          <w:tcPr>
            <w:tcW w:w="1130" w:type="dxa"/>
            <w:tcBorders>
              <w:top w:val="nil"/>
              <w:left w:val="nil"/>
              <w:bottom w:val="single" w:sz="4" w:space="0" w:color="000000"/>
              <w:right w:val="single" w:sz="4" w:space="0" w:color="000000"/>
            </w:tcBorders>
            <w:shd w:val="clear" w:color="auto" w:fill="auto"/>
            <w:vAlign w:val="center"/>
          </w:tcPr>
          <w:p w14:paraId="41E6EDF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17,18%</w:t>
            </w:r>
          </w:p>
        </w:tc>
        <w:tc>
          <w:tcPr>
            <w:tcW w:w="1124" w:type="dxa"/>
            <w:tcBorders>
              <w:top w:val="nil"/>
              <w:left w:val="nil"/>
              <w:bottom w:val="single" w:sz="4" w:space="0" w:color="000000"/>
              <w:right w:val="single" w:sz="4" w:space="0" w:color="000000"/>
            </w:tcBorders>
            <w:shd w:val="clear" w:color="auto" w:fill="auto"/>
            <w:vAlign w:val="center"/>
          </w:tcPr>
          <w:p w14:paraId="5342F30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69,79%</w:t>
            </w:r>
          </w:p>
        </w:tc>
        <w:tc>
          <w:tcPr>
            <w:tcW w:w="993" w:type="dxa"/>
            <w:tcBorders>
              <w:top w:val="nil"/>
              <w:left w:val="nil"/>
              <w:bottom w:val="single" w:sz="4" w:space="0" w:color="000000"/>
              <w:right w:val="single" w:sz="4" w:space="0" w:color="000000"/>
            </w:tcBorders>
            <w:shd w:val="clear" w:color="auto" w:fill="auto"/>
            <w:vAlign w:val="center"/>
          </w:tcPr>
          <w:p w14:paraId="4A71D0B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34,92%</w:t>
            </w:r>
          </w:p>
        </w:tc>
        <w:tc>
          <w:tcPr>
            <w:tcW w:w="1185" w:type="dxa"/>
            <w:tcBorders>
              <w:top w:val="nil"/>
              <w:left w:val="nil"/>
              <w:bottom w:val="single" w:sz="4" w:space="0" w:color="000000"/>
              <w:right w:val="single" w:sz="4" w:space="0" w:color="000000"/>
            </w:tcBorders>
            <w:shd w:val="clear" w:color="auto" w:fill="auto"/>
            <w:vAlign w:val="center"/>
          </w:tcPr>
          <w:p w14:paraId="0B601A4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32,31%</w:t>
            </w:r>
          </w:p>
        </w:tc>
        <w:tc>
          <w:tcPr>
            <w:tcW w:w="1152" w:type="dxa"/>
            <w:tcBorders>
              <w:top w:val="nil"/>
              <w:left w:val="nil"/>
              <w:bottom w:val="single" w:sz="4" w:space="0" w:color="000000"/>
              <w:right w:val="single" w:sz="4" w:space="0" w:color="000000"/>
            </w:tcBorders>
            <w:shd w:val="clear" w:color="auto" w:fill="auto"/>
            <w:vAlign w:val="center"/>
          </w:tcPr>
          <w:p w14:paraId="00DBDE1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14,46%</w:t>
            </w:r>
          </w:p>
        </w:tc>
        <w:tc>
          <w:tcPr>
            <w:tcW w:w="1107" w:type="dxa"/>
            <w:tcBorders>
              <w:top w:val="nil"/>
              <w:left w:val="nil"/>
              <w:bottom w:val="single" w:sz="4" w:space="0" w:color="000000"/>
              <w:right w:val="nil"/>
            </w:tcBorders>
            <w:shd w:val="clear" w:color="auto" w:fill="auto"/>
            <w:vAlign w:val="center"/>
          </w:tcPr>
          <w:p w14:paraId="0DE323B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18,27%</w:t>
            </w:r>
          </w:p>
        </w:tc>
      </w:tr>
      <w:tr w:rsidR="00F05EF7" w:rsidRPr="00F05EF7" w14:paraId="0E95D021" w14:textId="77777777">
        <w:trPr>
          <w:trHeight w:val="260"/>
          <w:jc w:val="center"/>
        </w:trPr>
        <w:tc>
          <w:tcPr>
            <w:tcW w:w="1274" w:type="dxa"/>
            <w:tcBorders>
              <w:top w:val="nil"/>
              <w:left w:val="nil"/>
              <w:bottom w:val="single" w:sz="4" w:space="0" w:color="000000"/>
              <w:right w:val="single" w:sz="4" w:space="0" w:color="000000"/>
            </w:tcBorders>
            <w:shd w:val="clear" w:color="auto" w:fill="auto"/>
            <w:vAlign w:val="center"/>
          </w:tcPr>
          <w:p w14:paraId="06DEB0F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885" w:type="dxa"/>
            <w:tcBorders>
              <w:top w:val="nil"/>
              <w:left w:val="nil"/>
              <w:bottom w:val="single" w:sz="4" w:space="0" w:color="000000"/>
              <w:right w:val="single" w:sz="4" w:space="0" w:color="000000"/>
            </w:tcBorders>
            <w:shd w:val="clear" w:color="auto" w:fill="auto"/>
            <w:vAlign w:val="center"/>
          </w:tcPr>
          <w:p w14:paraId="2837D3F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28,57%</w:t>
            </w:r>
          </w:p>
        </w:tc>
        <w:tc>
          <w:tcPr>
            <w:tcW w:w="1318" w:type="dxa"/>
            <w:tcBorders>
              <w:top w:val="nil"/>
              <w:left w:val="nil"/>
              <w:bottom w:val="single" w:sz="4" w:space="0" w:color="000000"/>
              <w:right w:val="single" w:sz="4" w:space="0" w:color="000000"/>
            </w:tcBorders>
            <w:shd w:val="clear" w:color="auto" w:fill="auto"/>
            <w:vAlign w:val="center"/>
          </w:tcPr>
          <w:p w14:paraId="00CA80B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33,76%</w:t>
            </w:r>
          </w:p>
        </w:tc>
        <w:tc>
          <w:tcPr>
            <w:tcW w:w="1130" w:type="dxa"/>
            <w:tcBorders>
              <w:top w:val="nil"/>
              <w:left w:val="nil"/>
              <w:bottom w:val="single" w:sz="4" w:space="0" w:color="000000"/>
              <w:right w:val="single" w:sz="4" w:space="0" w:color="000000"/>
            </w:tcBorders>
            <w:shd w:val="clear" w:color="auto" w:fill="auto"/>
            <w:vAlign w:val="center"/>
          </w:tcPr>
          <w:p w14:paraId="73B8E73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18,57%</w:t>
            </w:r>
          </w:p>
        </w:tc>
        <w:tc>
          <w:tcPr>
            <w:tcW w:w="1124" w:type="dxa"/>
            <w:tcBorders>
              <w:top w:val="nil"/>
              <w:left w:val="nil"/>
              <w:bottom w:val="single" w:sz="4" w:space="0" w:color="000000"/>
              <w:right w:val="single" w:sz="4" w:space="0" w:color="000000"/>
            </w:tcBorders>
            <w:shd w:val="clear" w:color="auto" w:fill="auto"/>
            <w:vAlign w:val="center"/>
          </w:tcPr>
          <w:p w14:paraId="178AF0B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48,22%</w:t>
            </w:r>
          </w:p>
        </w:tc>
        <w:tc>
          <w:tcPr>
            <w:tcW w:w="993" w:type="dxa"/>
            <w:tcBorders>
              <w:top w:val="nil"/>
              <w:left w:val="nil"/>
              <w:bottom w:val="single" w:sz="4" w:space="0" w:color="000000"/>
              <w:right w:val="single" w:sz="4" w:space="0" w:color="000000"/>
            </w:tcBorders>
            <w:shd w:val="clear" w:color="auto" w:fill="auto"/>
            <w:vAlign w:val="center"/>
          </w:tcPr>
          <w:p w14:paraId="48406ED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31,19%</w:t>
            </w:r>
          </w:p>
        </w:tc>
        <w:tc>
          <w:tcPr>
            <w:tcW w:w="1185" w:type="dxa"/>
            <w:tcBorders>
              <w:top w:val="nil"/>
              <w:left w:val="nil"/>
              <w:bottom w:val="single" w:sz="4" w:space="0" w:color="000000"/>
              <w:right w:val="single" w:sz="4" w:space="0" w:color="000000"/>
            </w:tcBorders>
            <w:shd w:val="clear" w:color="auto" w:fill="auto"/>
            <w:vAlign w:val="center"/>
          </w:tcPr>
          <w:p w14:paraId="6AEA402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40,17%</w:t>
            </w:r>
          </w:p>
        </w:tc>
        <w:tc>
          <w:tcPr>
            <w:tcW w:w="1152" w:type="dxa"/>
            <w:tcBorders>
              <w:top w:val="nil"/>
              <w:left w:val="nil"/>
              <w:bottom w:val="single" w:sz="4" w:space="0" w:color="000000"/>
              <w:right w:val="single" w:sz="4" w:space="0" w:color="000000"/>
            </w:tcBorders>
            <w:shd w:val="clear" w:color="auto" w:fill="auto"/>
            <w:vAlign w:val="center"/>
          </w:tcPr>
          <w:p w14:paraId="37ACA5B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14,39%</w:t>
            </w:r>
          </w:p>
        </w:tc>
        <w:tc>
          <w:tcPr>
            <w:tcW w:w="1107" w:type="dxa"/>
            <w:tcBorders>
              <w:top w:val="nil"/>
              <w:left w:val="nil"/>
              <w:bottom w:val="single" w:sz="4" w:space="0" w:color="000000"/>
              <w:right w:val="nil"/>
            </w:tcBorders>
            <w:shd w:val="clear" w:color="auto" w:fill="auto"/>
            <w:vAlign w:val="center"/>
          </w:tcPr>
          <w:p w14:paraId="755D125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26,15%</w:t>
            </w:r>
          </w:p>
        </w:tc>
      </w:tr>
      <w:tr w:rsidR="00F05EF7" w:rsidRPr="00F05EF7" w14:paraId="53A949AF" w14:textId="77777777">
        <w:trPr>
          <w:trHeight w:val="260"/>
          <w:jc w:val="center"/>
        </w:trPr>
        <w:tc>
          <w:tcPr>
            <w:tcW w:w="1274" w:type="dxa"/>
            <w:tcBorders>
              <w:top w:val="nil"/>
              <w:left w:val="nil"/>
              <w:bottom w:val="single" w:sz="4" w:space="0" w:color="000000"/>
              <w:right w:val="single" w:sz="4" w:space="0" w:color="000000"/>
            </w:tcBorders>
            <w:shd w:val="clear" w:color="auto" w:fill="auto"/>
            <w:vAlign w:val="center"/>
          </w:tcPr>
          <w:p w14:paraId="245E35C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MÉDIA</w:t>
            </w:r>
          </w:p>
        </w:tc>
        <w:tc>
          <w:tcPr>
            <w:tcW w:w="885" w:type="dxa"/>
            <w:tcBorders>
              <w:top w:val="nil"/>
              <w:left w:val="nil"/>
              <w:bottom w:val="single" w:sz="4" w:space="0" w:color="000000"/>
              <w:right w:val="single" w:sz="4" w:space="0" w:color="000000"/>
            </w:tcBorders>
            <w:shd w:val="clear" w:color="auto" w:fill="auto"/>
            <w:vAlign w:val="center"/>
          </w:tcPr>
          <w:p w14:paraId="4D41676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31,75%</w:t>
            </w:r>
          </w:p>
        </w:tc>
        <w:tc>
          <w:tcPr>
            <w:tcW w:w="1318" w:type="dxa"/>
            <w:tcBorders>
              <w:top w:val="nil"/>
              <w:left w:val="nil"/>
              <w:bottom w:val="single" w:sz="4" w:space="0" w:color="000000"/>
              <w:right w:val="single" w:sz="4" w:space="0" w:color="000000"/>
            </w:tcBorders>
            <w:shd w:val="clear" w:color="auto" w:fill="auto"/>
            <w:vAlign w:val="center"/>
          </w:tcPr>
          <w:p w14:paraId="612809D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32,33%</w:t>
            </w:r>
          </w:p>
        </w:tc>
        <w:tc>
          <w:tcPr>
            <w:tcW w:w="1130" w:type="dxa"/>
            <w:tcBorders>
              <w:top w:val="nil"/>
              <w:left w:val="nil"/>
              <w:bottom w:val="single" w:sz="4" w:space="0" w:color="000000"/>
              <w:right w:val="single" w:sz="4" w:space="0" w:color="000000"/>
            </w:tcBorders>
            <w:shd w:val="clear" w:color="auto" w:fill="auto"/>
            <w:vAlign w:val="center"/>
          </w:tcPr>
          <w:p w14:paraId="580F7FB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21,64%</w:t>
            </w:r>
          </w:p>
        </w:tc>
        <w:tc>
          <w:tcPr>
            <w:tcW w:w="1124" w:type="dxa"/>
            <w:tcBorders>
              <w:top w:val="nil"/>
              <w:left w:val="nil"/>
              <w:bottom w:val="single" w:sz="4" w:space="0" w:color="000000"/>
              <w:right w:val="single" w:sz="4" w:space="0" w:color="000000"/>
            </w:tcBorders>
            <w:shd w:val="clear" w:color="auto" w:fill="auto"/>
            <w:vAlign w:val="center"/>
          </w:tcPr>
          <w:p w14:paraId="65A4335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57,07%</w:t>
            </w:r>
          </w:p>
        </w:tc>
        <w:tc>
          <w:tcPr>
            <w:tcW w:w="993" w:type="dxa"/>
            <w:tcBorders>
              <w:top w:val="nil"/>
              <w:left w:val="nil"/>
              <w:bottom w:val="single" w:sz="4" w:space="0" w:color="000000"/>
              <w:right w:val="single" w:sz="4" w:space="0" w:color="000000"/>
            </w:tcBorders>
            <w:shd w:val="clear" w:color="auto" w:fill="auto"/>
            <w:vAlign w:val="center"/>
          </w:tcPr>
          <w:p w14:paraId="6751E3C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32,79%</w:t>
            </w:r>
          </w:p>
        </w:tc>
        <w:tc>
          <w:tcPr>
            <w:tcW w:w="1185" w:type="dxa"/>
            <w:tcBorders>
              <w:top w:val="nil"/>
              <w:left w:val="nil"/>
              <w:bottom w:val="single" w:sz="4" w:space="0" w:color="000000"/>
              <w:right w:val="single" w:sz="4" w:space="0" w:color="000000"/>
            </w:tcBorders>
            <w:shd w:val="clear" w:color="auto" w:fill="auto"/>
            <w:vAlign w:val="center"/>
          </w:tcPr>
          <w:p w14:paraId="4B9CF17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37,77%</w:t>
            </w:r>
          </w:p>
        </w:tc>
        <w:tc>
          <w:tcPr>
            <w:tcW w:w="1152" w:type="dxa"/>
            <w:tcBorders>
              <w:top w:val="nil"/>
              <w:left w:val="nil"/>
              <w:bottom w:val="single" w:sz="4" w:space="0" w:color="000000"/>
              <w:right w:val="single" w:sz="4" w:space="0" w:color="000000"/>
            </w:tcBorders>
            <w:shd w:val="clear" w:color="auto" w:fill="auto"/>
            <w:vAlign w:val="center"/>
          </w:tcPr>
          <w:p w14:paraId="5EE8FCD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16,21%</w:t>
            </w:r>
          </w:p>
        </w:tc>
        <w:tc>
          <w:tcPr>
            <w:tcW w:w="1107" w:type="dxa"/>
            <w:tcBorders>
              <w:top w:val="nil"/>
              <w:left w:val="nil"/>
              <w:bottom w:val="single" w:sz="4" w:space="0" w:color="000000"/>
              <w:right w:val="nil"/>
            </w:tcBorders>
            <w:shd w:val="clear" w:color="auto" w:fill="auto"/>
            <w:vAlign w:val="center"/>
          </w:tcPr>
          <w:p w14:paraId="2B39637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22,24%</w:t>
            </w:r>
          </w:p>
        </w:tc>
      </w:tr>
    </w:tbl>
    <w:p w14:paraId="65ED37D1" w14:textId="10842BF1" w:rsidR="00821527" w:rsidRPr="00F9587A" w:rsidRDefault="0010504B"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w:t>
      </w:r>
      <w:r w:rsidR="00F9587A" w:rsidRPr="00F9587A">
        <w:rPr>
          <w:rFonts w:ascii="Times New Roman" w:eastAsia="Times New Roman" w:hAnsi="Times New Roman" w:cs="Times New Roman"/>
          <w:sz w:val="20"/>
          <w:szCs w:val="20"/>
        </w:rPr>
        <w:t>s</w:t>
      </w:r>
      <w:r w:rsidRPr="00F9587A">
        <w:rPr>
          <w:rFonts w:ascii="Times New Roman" w:eastAsia="Times New Roman" w:hAnsi="Times New Roman" w:cs="Times New Roman"/>
          <w:sz w:val="20"/>
          <w:szCs w:val="20"/>
        </w:rPr>
        <w:t xml:space="preserve"> autor</w:t>
      </w:r>
      <w:r w:rsidR="00F9587A" w:rsidRPr="00F9587A">
        <w:rPr>
          <w:rFonts w:ascii="Times New Roman" w:eastAsia="Times New Roman" w:hAnsi="Times New Roman" w:cs="Times New Roman"/>
          <w:sz w:val="20"/>
          <w:szCs w:val="20"/>
        </w:rPr>
        <w:t>es com base na pesquisa.</w:t>
      </w:r>
    </w:p>
    <w:p w14:paraId="1910648E" w14:textId="77777777" w:rsidR="00F9587A" w:rsidRPr="00F05EF7" w:rsidRDefault="00F9587A" w:rsidP="00AD5592">
      <w:pPr>
        <w:widowControl w:val="0"/>
        <w:pBdr>
          <w:top w:val="nil"/>
          <w:left w:val="nil"/>
          <w:bottom w:val="nil"/>
          <w:right w:val="nil"/>
          <w:between w:val="nil"/>
        </w:pBdr>
        <w:ind w:firstLine="709"/>
        <w:jc w:val="both"/>
        <w:rPr>
          <w:rFonts w:ascii="Times New Roman" w:eastAsia="Times New Roman" w:hAnsi="Times New Roman" w:cs="Times New Roman"/>
        </w:rPr>
      </w:pPr>
    </w:p>
    <w:p w14:paraId="58833FF1" w14:textId="1085C42C"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A Tabela </w:t>
      </w:r>
      <w:r w:rsidR="001C4197" w:rsidRPr="00F05EF7">
        <w:rPr>
          <w:rFonts w:ascii="Times New Roman" w:eastAsia="Times New Roman" w:hAnsi="Times New Roman" w:cs="Times New Roman"/>
        </w:rPr>
        <w:t>1</w:t>
      </w:r>
      <w:r w:rsidRPr="00F05EF7">
        <w:rPr>
          <w:rFonts w:ascii="Times New Roman" w:eastAsia="Times New Roman" w:hAnsi="Times New Roman" w:cs="Times New Roman"/>
        </w:rPr>
        <w:t xml:space="preserve"> </w:t>
      </w:r>
      <w:r w:rsidR="00C955CD" w:rsidRPr="00F05EF7">
        <w:rPr>
          <w:rFonts w:ascii="Times New Roman" w:eastAsia="Times New Roman" w:hAnsi="Times New Roman" w:cs="Times New Roman"/>
        </w:rPr>
        <w:t>mostra</w:t>
      </w:r>
      <w:r w:rsidRPr="00F05EF7">
        <w:rPr>
          <w:rFonts w:ascii="Times New Roman" w:eastAsia="Times New Roman" w:hAnsi="Times New Roman" w:cs="Times New Roman"/>
        </w:rPr>
        <w:t xml:space="preserve">, em percentis, quanto cada município alterou seu orçamento, mediante a abertura de créditos adicionais (suplementares, especiais e extraordinários) dentro do exercício financeiro, quando comparado </w:t>
      </w:r>
      <w:r w:rsidR="00C955CD" w:rsidRPr="00F05EF7">
        <w:rPr>
          <w:rFonts w:ascii="Times New Roman" w:eastAsia="Times New Roman" w:hAnsi="Times New Roman" w:cs="Times New Roman"/>
        </w:rPr>
        <w:t>com o</w:t>
      </w:r>
      <w:r w:rsidRPr="00F05EF7">
        <w:rPr>
          <w:rFonts w:ascii="Times New Roman" w:eastAsia="Times New Roman" w:hAnsi="Times New Roman" w:cs="Times New Roman"/>
        </w:rPr>
        <w:t xml:space="preserve"> total da despesa executada no mesmo período. Esses dados permitem verificar quanto por cento do total do orçamento executado pelo Município corresponde </w:t>
      </w:r>
      <w:r w:rsidR="00C955CD" w:rsidRPr="00F05EF7">
        <w:rPr>
          <w:rFonts w:ascii="Times New Roman" w:eastAsia="Times New Roman" w:hAnsi="Times New Roman" w:cs="Times New Roman"/>
        </w:rPr>
        <w:t>aos</w:t>
      </w:r>
      <w:r w:rsidRPr="00F05EF7">
        <w:rPr>
          <w:rFonts w:ascii="Times New Roman" w:eastAsia="Times New Roman" w:hAnsi="Times New Roman" w:cs="Times New Roman"/>
        </w:rPr>
        <w:t xml:space="preserve"> créditos adicionais abertos.</w:t>
      </w:r>
    </w:p>
    <w:p w14:paraId="3E38D36C" w14:textId="7AA16E1A"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Por meio dos dados </w:t>
      </w:r>
      <w:r w:rsidR="009C61AF" w:rsidRPr="00F05EF7">
        <w:rPr>
          <w:rFonts w:ascii="Times New Roman" w:eastAsia="Times New Roman" w:hAnsi="Times New Roman" w:cs="Times New Roman"/>
        </w:rPr>
        <w:t>apresentados</w:t>
      </w:r>
      <w:r w:rsidRPr="00F05EF7">
        <w:rPr>
          <w:rFonts w:ascii="Times New Roman" w:eastAsia="Times New Roman" w:hAnsi="Times New Roman" w:cs="Times New Roman"/>
        </w:rPr>
        <w:t xml:space="preserve"> é possível constatar que o município de Agudo </w:t>
      </w:r>
      <w:r w:rsidRPr="00F05EF7">
        <w:rPr>
          <w:rFonts w:ascii="Times New Roman" w:eastAsia="Times New Roman" w:hAnsi="Times New Roman" w:cs="Times New Roman"/>
        </w:rPr>
        <w:lastRenderedPageBreak/>
        <w:t>realocou através de créditos adicionais, em média, aproximadamente 31,75% do total do orçamento executado durante o período compreendido entre os exercícios financeiros de 2014 a 2018, atingindo o máximo de 39,57% no ano de 2016. Já o município de Dona Francisca realocou, em média, aproximadamente 32,33% do total do orçamento executado durante o período de 2014 a 2018, atingindo o máximo de 36,18% em 2015.</w:t>
      </w:r>
    </w:p>
    <w:p w14:paraId="2513AC07" w14:textId="630B2283"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O município de Faxinal do Soturno por sua vez, utilizou em créditos adicionais, em média, aproximadamente 21,64% do total executado no mesmo período, tendo como ápice o </w:t>
      </w:r>
      <w:r w:rsidR="00B4543A" w:rsidRPr="00F05EF7">
        <w:rPr>
          <w:rFonts w:ascii="Times New Roman" w:eastAsia="Times New Roman" w:hAnsi="Times New Roman" w:cs="Times New Roman"/>
        </w:rPr>
        <w:t>ano</w:t>
      </w:r>
      <w:r w:rsidRPr="00F05EF7">
        <w:rPr>
          <w:rFonts w:ascii="Times New Roman" w:eastAsia="Times New Roman" w:hAnsi="Times New Roman" w:cs="Times New Roman"/>
        </w:rPr>
        <w:t xml:space="preserve"> de 2014, onde 29,85% do total da despesa </w:t>
      </w:r>
      <w:r w:rsidR="00B4543A" w:rsidRPr="00F05EF7">
        <w:rPr>
          <w:rFonts w:ascii="Times New Roman" w:eastAsia="Times New Roman" w:hAnsi="Times New Roman" w:cs="Times New Roman"/>
        </w:rPr>
        <w:t>executada</w:t>
      </w:r>
      <w:r w:rsidRPr="00F05EF7">
        <w:rPr>
          <w:rFonts w:ascii="Times New Roman" w:eastAsia="Times New Roman" w:hAnsi="Times New Roman" w:cs="Times New Roman"/>
        </w:rPr>
        <w:t xml:space="preserve"> </w:t>
      </w:r>
      <w:r w:rsidR="00B4543A" w:rsidRPr="00F05EF7">
        <w:rPr>
          <w:rFonts w:ascii="Times New Roman" w:eastAsia="Times New Roman" w:hAnsi="Times New Roman" w:cs="Times New Roman"/>
        </w:rPr>
        <w:t>advieram</w:t>
      </w:r>
      <w:r w:rsidRPr="00F05EF7">
        <w:rPr>
          <w:rFonts w:ascii="Times New Roman" w:eastAsia="Times New Roman" w:hAnsi="Times New Roman" w:cs="Times New Roman"/>
        </w:rPr>
        <w:t xml:space="preserve"> da utilização de créditos adicionais. Em contrapartida, o município de Formigueiro apresentou uma média de aproximadamente 57,07% do total da despesa executada na abertura de créditos adicionais no período analisado, tendo como ápice o exercício de 2017, onde 69,79% do total do orçamento executado </w:t>
      </w:r>
      <w:r w:rsidR="00B4543A" w:rsidRPr="00F05EF7">
        <w:rPr>
          <w:rFonts w:ascii="Times New Roman" w:eastAsia="Times New Roman" w:hAnsi="Times New Roman" w:cs="Times New Roman"/>
        </w:rPr>
        <w:t>corresponderam</w:t>
      </w:r>
      <w:r w:rsidRPr="00F05EF7">
        <w:rPr>
          <w:rFonts w:ascii="Times New Roman" w:eastAsia="Times New Roman" w:hAnsi="Times New Roman" w:cs="Times New Roman"/>
        </w:rPr>
        <w:t xml:space="preserve"> a créditos adicionais abertos.</w:t>
      </w:r>
    </w:p>
    <w:p w14:paraId="7EBB618E" w14:textId="77777777"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O município de </w:t>
      </w:r>
      <w:proofErr w:type="spellStart"/>
      <w:r w:rsidRPr="00F05EF7">
        <w:rPr>
          <w:rFonts w:ascii="Times New Roman" w:eastAsia="Times New Roman" w:hAnsi="Times New Roman" w:cs="Times New Roman"/>
        </w:rPr>
        <w:t>Ivorá</w:t>
      </w:r>
      <w:proofErr w:type="spellEnd"/>
      <w:r w:rsidRPr="00F05EF7">
        <w:rPr>
          <w:rFonts w:ascii="Times New Roman" w:eastAsia="Times New Roman" w:hAnsi="Times New Roman" w:cs="Times New Roman"/>
        </w:rPr>
        <w:t xml:space="preserve"> apresentou uma utilização de créditos adicionais média de aproximadamente 32,79% do total do orçamento executado no período, tendo realizado a maior movimentação em 2014, a qual representou 37,70% do total do orçamento executado naquele ano. Já o município de Restinga </w:t>
      </w:r>
      <w:proofErr w:type="spellStart"/>
      <w:r w:rsidRPr="00F05EF7">
        <w:rPr>
          <w:rFonts w:ascii="Times New Roman" w:eastAsia="Times New Roman" w:hAnsi="Times New Roman" w:cs="Times New Roman"/>
        </w:rPr>
        <w:t>Sêca</w:t>
      </w:r>
      <w:proofErr w:type="spellEnd"/>
      <w:r w:rsidRPr="00F05EF7">
        <w:rPr>
          <w:rFonts w:ascii="Times New Roman" w:eastAsia="Times New Roman" w:hAnsi="Times New Roman" w:cs="Times New Roman"/>
        </w:rPr>
        <w:t xml:space="preserve"> realocou, em média, aproximadamente 37,77% do total da despesa executada em créditos adicionais no período compreendido entre 2014 e 2018, tendo como ápice o exercício de 2014, que correspondeu a 45,97% do total da despesa executada no ano.</w:t>
      </w:r>
    </w:p>
    <w:p w14:paraId="759A7CB1" w14:textId="7BBC0782"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Por fim, os municípios de São João do </w:t>
      </w:r>
      <w:proofErr w:type="spellStart"/>
      <w:r w:rsidRPr="00F05EF7">
        <w:rPr>
          <w:rFonts w:ascii="Times New Roman" w:eastAsia="Times New Roman" w:hAnsi="Times New Roman" w:cs="Times New Roman"/>
        </w:rPr>
        <w:t>Polêsine</w:t>
      </w:r>
      <w:proofErr w:type="spellEnd"/>
      <w:r w:rsidRPr="00F05EF7">
        <w:rPr>
          <w:rFonts w:ascii="Times New Roman" w:eastAsia="Times New Roman" w:hAnsi="Times New Roman" w:cs="Times New Roman"/>
        </w:rPr>
        <w:t xml:space="preserve"> e Silveira Martins utilizaram em créditos adicionais, em média, aproximadamente 16,21% e 22,24% do total da despesa executada no período de 2014 a 2018, respectivamente. O exercício financeiro em que mais houve alterações na peça orçamentária </w:t>
      </w:r>
      <w:r w:rsidR="00957C2B">
        <w:rPr>
          <w:rFonts w:ascii="Times New Roman" w:eastAsia="Times New Roman" w:hAnsi="Times New Roman" w:cs="Times New Roman"/>
        </w:rPr>
        <w:t>foi</w:t>
      </w:r>
      <w:r w:rsidRPr="00F05EF7">
        <w:rPr>
          <w:rFonts w:ascii="Times New Roman" w:eastAsia="Times New Roman" w:hAnsi="Times New Roman" w:cs="Times New Roman"/>
        </w:rPr>
        <w:t xml:space="preserve"> 2014, em ambos os municípios, representando 22,47% do total da despesa em São João do </w:t>
      </w:r>
      <w:proofErr w:type="spellStart"/>
      <w:r w:rsidRPr="00F05EF7">
        <w:rPr>
          <w:rFonts w:ascii="Times New Roman" w:eastAsia="Times New Roman" w:hAnsi="Times New Roman" w:cs="Times New Roman"/>
        </w:rPr>
        <w:t>Polêsine</w:t>
      </w:r>
      <w:proofErr w:type="spellEnd"/>
      <w:r w:rsidRPr="00F05EF7">
        <w:rPr>
          <w:rFonts w:ascii="Times New Roman" w:eastAsia="Times New Roman" w:hAnsi="Times New Roman" w:cs="Times New Roman"/>
        </w:rPr>
        <w:t xml:space="preserve"> e 30,91% em Silveira Martins.</w:t>
      </w:r>
    </w:p>
    <w:p w14:paraId="42AE9919" w14:textId="1D39BA1C"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Assim, constata-se que os municípios analisados </w:t>
      </w:r>
      <w:r w:rsidR="00E8408C">
        <w:rPr>
          <w:rFonts w:ascii="Times New Roman" w:eastAsia="Times New Roman" w:hAnsi="Times New Roman" w:cs="Times New Roman"/>
        </w:rPr>
        <w:t>abriram</w:t>
      </w:r>
      <w:r w:rsidRPr="00F05EF7">
        <w:rPr>
          <w:rFonts w:ascii="Times New Roman" w:eastAsia="Times New Roman" w:hAnsi="Times New Roman" w:cs="Times New Roman"/>
        </w:rPr>
        <w:t xml:space="preserve">, em média, de 16,21% a 57,07% do total dos seus orçamentos em créditos adicionais, no período </w:t>
      </w:r>
      <w:r w:rsidR="008802FC" w:rsidRPr="00F05EF7">
        <w:rPr>
          <w:rFonts w:ascii="Times New Roman" w:eastAsia="Times New Roman" w:hAnsi="Times New Roman" w:cs="Times New Roman"/>
        </w:rPr>
        <w:t>analisado</w:t>
      </w:r>
      <w:r w:rsidRPr="00F05EF7">
        <w:rPr>
          <w:rFonts w:ascii="Times New Roman" w:eastAsia="Times New Roman" w:hAnsi="Times New Roman" w:cs="Times New Roman"/>
        </w:rPr>
        <w:t xml:space="preserve">. O município com o melhor desempenho, ou seja, que menos precisou valer-se da abertura de créditos orçamentários para corrigir as falhas no planejamento orçamentário foi o de São João do </w:t>
      </w:r>
      <w:proofErr w:type="spellStart"/>
      <w:r w:rsidRPr="00F05EF7">
        <w:rPr>
          <w:rFonts w:ascii="Times New Roman" w:eastAsia="Times New Roman" w:hAnsi="Times New Roman" w:cs="Times New Roman"/>
        </w:rPr>
        <w:t>Polêsine</w:t>
      </w:r>
      <w:proofErr w:type="spellEnd"/>
      <w:r w:rsidRPr="00F05EF7">
        <w:rPr>
          <w:rFonts w:ascii="Times New Roman" w:eastAsia="Times New Roman" w:hAnsi="Times New Roman" w:cs="Times New Roman"/>
        </w:rPr>
        <w:t>, com uma média de 16,21% no período analisado, seguido por Faxinal do Soturno e Silveira Martins, que apresentaram uma média de 21,64% e 22,24%, respectivamente.</w:t>
      </w:r>
    </w:p>
    <w:p w14:paraId="3F34253B" w14:textId="4C054948"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Quanto aos demais Municípios, permaneceram na faixa dos 30%, com exceção </w:t>
      </w:r>
      <w:r w:rsidR="00E8408C">
        <w:rPr>
          <w:rFonts w:ascii="Times New Roman" w:eastAsia="Times New Roman" w:hAnsi="Times New Roman" w:cs="Times New Roman"/>
        </w:rPr>
        <w:t>d</w:t>
      </w:r>
      <w:r w:rsidRPr="00F05EF7">
        <w:rPr>
          <w:rFonts w:ascii="Times New Roman" w:eastAsia="Times New Roman" w:hAnsi="Times New Roman" w:cs="Times New Roman"/>
        </w:rPr>
        <w:t>o município de Formigueiro, que se destaca, já que demonstrou o pior desempenho dentre os analisados. Isto porque Formigueiro apresentou uma média de aproximadamente 57,07% de abertura de créditos adicionais, quando comparado com o total da despesa executada, no período de 2014 a 2018.</w:t>
      </w:r>
    </w:p>
    <w:p w14:paraId="4E851768" w14:textId="0FFE31FC"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r>
      <w:r w:rsidR="00D95FB4" w:rsidRPr="00F05EF7">
        <w:rPr>
          <w:rFonts w:ascii="Times New Roman" w:eastAsia="Times New Roman" w:hAnsi="Times New Roman" w:cs="Times New Roman"/>
        </w:rPr>
        <w:t>Feito isto, apurou-se como</w:t>
      </w:r>
      <w:r w:rsidRPr="00F05EF7">
        <w:rPr>
          <w:rFonts w:ascii="Times New Roman" w:eastAsia="Times New Roman" w:hAnsi="Times New Roman" w:cs="Times New Roman"/>
        </w:rPr>
        <w:t xml:space="preserve"> esses valores </w:t>
      </w:r>
      <w:r w:rsidR="00E8408C">
        <w:rPr>
          <w:rFonts w:ascii="Times New Roman" w:eastAsia="Times New Roman" w:hAnsi="Times New Roman" w:cs="Times New Roman"/>
        </w:rPr>
        <w:t>estão</w:t>
      </w:r>
      <w:r w:rsidRPr="00F05EF7">
        <w:rPr>
          <w:rFonts w:ascii="Times New Roman" w:eastAsia="Times New Roman" w:hAnsi="Times New Roman" w:cs="Times New Roman"/>
        </w:rPr>
        <w:t xml:space="preserve"> </w:t>
      </w:r>
      <w:r w:rsidR="00E8408C">
        <w:rPr>
          <w:rFonts w:ascii="Times New Roman" w:eastAsia="Times New Roman" w:hAnsi="Times New Roman" w:cs="Times New Roman"/>
        </w:rPr>
        <w:t>distribuídos</w:t>
      </w:r>
      <w:r w:rsidRPr="00F05EF7">
        <w:rPr>
          <w:rFonts w:ascii="Times New Roman" w:eastAsia="Times New Roman" w:hAnsi="Times New Roman" w:cs="Times New Roman"/>
        </w:rPr>
        <w:t>, ou seja, dos totais apresentados acima, quanto representa cada tipo de crédito adicional, significa dizer, quanto por cento foi aberto de créditos adicionais do tipo suplementar, especial e extraordiná</w:t>
      </w:r>
      <w:r w:rsidR="00D95FB4" w:rsidRPr="00F05EF7">
        <w:rPr>
          <w:rFonts w:ascii="Times New Roman" w:eastAsia="Times New Roman" w:hAnsi="Times New Roman" w:cs="Times New Roman"/>
        </w:rPr>
        <w:t xml:space="preserve">rio pelos municípios estudados. </w:t>
      </w:r>
      <w:r w:rsidRPr="00F05EF7">
        <w:rPr>
          <w:rFonts w:ascii="Times New Roman" w:eastAsia="Times New Roman" w:hAnsi="Times New Roman" w:cs="Times New Roman"/>
        </w:rPr>
        <w:t xml:space="preserve">Para tanto, </w:t>
      </w:r>
      <w:r w:rsidR="00D95FB4" w:rsidRPr="00F05EF7">
        <w:rPr>
          <w:rFonts w:ascii="Times New Roman" w:eastAsia="Times New Roman" w:hAnsi="Times New Roman" w:cs="Times New Roman"/>
        </w:rPr>
        <w:t>foram tabulados os dados</w:t>
      </w:r>
      <w:r w:rsidRPr="00F05EF7">
        <w:rPr>
          <w:rFonts w:ascii="Times New Roman" w:eastAsia="Times New Roman" w:hAnsi="Times New Roman" w:cs="Times New Roman"/>
        </w:rPr>
        <w:t>, de forma individualizada, por tipo de crédito adicional e exercício financeiro, de cada um dos municípios.</w:t>
      </w:r>
    </w:p>
    <w:p w14:paraId="2A552B18" w14:textId="77777777" w:rsidR="00D95FB4" w:rsidRPr="00F05EF7" w:rsidRDefault="00D95FB4"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Assim, constatou-se que, em quase todos os municípios, os maiores percentuais concentram-se nos créditos adicionais do tipo suplementar, seguidos pelos especiais, estes com representatividade deveras inferior, quando comparados aos percentuais de crédito adicional suplementar. </w:t>
      </w:r>
    </w:p>
    <w:p w14:paraId="07B56A30" w14:textId="614A92EC" w:rsidR="00821527" w:rsidRPr="00F05EF7" w:rsidRDefault="00D95FB4"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Além disso, observou-se que </w:t>
      </w:r>
      <w:r w:rsidR="0010504B" w:rsidRPr="00F05EF7">
        <w:rPr>
          <w:rFonts w:ascii="Times New Roman" w:eastAsia="Times New Roman" w:hAnsi="Times New Roman" w:cs="Times New Roman"/>
        </w:rPr>
        <w:t xml:space="preserve">em nenhum dos municípios estudados ocorreu abertura de créditos adicionais do tipo extraordinário. Isto se dá em virtude da característica peculiar dos créditos adicionais do tipo extraordinário, uma vez que demandam, para sua abertura, de situações de comoção intestina, calamidade pública ou guerra, já que se </w:t>
      </w:r>
      <w:r w:rsidR="0010504B" w:rsidRPr="006026C8">
        <w:rPr>
          <w:rFonts w:ascii="Times New Roman" w:eastAsia="Times New Roman" w:hAnsi="Times New Roman" w:cs="Times New Roman"/>
        </w:rPr>
        <w:t xml:space="preserve">visam </w:t>
      </w:r>
      <w:r w:rsidR="00461179" w:rsidRPr="006026C8">
        <w:rPr>
          <w:rFonts w:ascii="Times New Roman" w:eastAsia="Times New Roman" w:hAnsi="Times New Roman" w:cs="Times New Roman"/>
        </w:rPr>
        <w:t>a</w:t>
      </w:r>
      <w:r w:rsidR="0010504B" w:rsidRPr="006026C8">
        <w:rPr>
          <w:rFonts w:ascii="Times New Roman" w:eastAsia="Times New Roman" w:hAnsi="Times New Roman" w:cs="Times New Roman"/>
        </w:rPr>
        <w:t>o atender</w:t>
      </w:r>
      <w:r w:rsidR="0010504B" w:rsidRPr="00F05EF7">
        <w:rPr>
          <w:rFonts w:ascii="Times New Roman" w:eastAsia="Times New Roman" w:hAnsi="Times New Roman" w:cs="Times New Roman"/>
        </w:rPr>
        <w:t xml:space="preserve"> despesas urgentes e imprevistas, nos termos do que estabelece a legislação.</w:t>
      </w:r>
    </w:p>
    <w:p w14:paraId="55B77838" w14:textId="77777777" w:rsidR="00821527" w:rsidRPr="00F05EF7" w:rsidRDefault="0010504B" w:rsidP="00AD5592">
      <w:pPr>
        <w:widowControl w:val="0"/>
        <w:ind w:firstLine="709"/>
        <w:jc w:val="both"/>
        <w:rPr>
          <w:rFonts w:ascii="Times New Roman" w:eastAsia="Times New Roman" w:hAnsi="Times New Roman" w:cs="Times New Roman"/>
        </w:rPr>
      </w:pPr>
      <w:r w:rsidRPr="00F05EF7">
        <w:rPr>
          <w:rFonts w:ascii="Times New Roman" w:eastAsia="Times New Roman" w:hAnsi="Times New Roman" w:cs="Times New Roman"/>
        </w:rPr>
        <w:t xml:space="preserve">No entanto, no tocante aos créditos adicionais do tipo suplementar e especial isto não </w:t>
      </w:r>
      <w:r w:rsidRPr="00F05EF7">
        <w:rPr>
          <w:rFonts w:ascii="Times New Roman" w:eastAsia="Times New Roman" w:hAnsi="Times New Roman" w:cs="Times New Roman"/>
        </w:rPr>
        <w:lastRenderedPageBreak/>
        <w:t xml:space="preserve">ocorre, já que se constatam elevados montantes de abertura. Em todos os municípios estudados se percebe que os maiores valores abertos em créditos adicionais estão concentrados nos do tipo suplementar. </w:t>
      </w:r>
    </w:p>
    <w:p w14:paraId="7A8BF2CD" w14:textId="2049A115" w:rsidR="00821527" w:rsidRPr="00F05EF7" w:rsidRDefault="0010504B" w:rsidP="00AD5592">
      <w:pPr>
        <w:widowControl w:val="0"/>
        <w:ind w:firstLine="709"/>
        <w:jc w:val="both"/>
        <w:rPr>
          <w:rFonts w:ascii="Times New Roman" w:eastAsia="Times New Roman" w:hAnsi="Times New Roman" w:cs="Times New Roman"/>
        </w:rPr>
      </w:pPr>
      <w:r w:rsidRPr="00F05EF7">
        <w:rPr>
          <w:rFonts w:ascii="Times New Roman" w:eastAsia="Times New Roman" w:hAnsi="Times New Roman" w:cs="Times New Roman"/>
        </w:rPr>
        <w:t>Sendo assim, essa análise indica que a maior parte dos valores referentes a créditos adicionais abertos se destina a cobrir reforço de dotações já existentes no orçamento (créditos adicionais do tipo suplementar), ou seja, para fazer frente às despesas insuficientemente previstas quando da elaboração do orçamento. Isto porque os créditos adicionais do tipo especial se destinam à cobertura de despesas para as quais não havia dotação orçamentária específica, sendo, portanto, destinad</w:t>
      </w:r>
      <w:r w:rsidR="00D91CB9" w:rsidRPr="00F05EF7">
        <w:rPr>
          <w:rFonts w:ascii="Times New Roman" w:eastAsia="Times New Roman" w:hAnsi="Times New Roman" w:cs="Times New Roman"/>
        </w:rPr>
        <w:t>o</w:t>
      </w:r>
      <w:r w:rsidRPr="00F05EF7">
        <w:rPr>
          <w:rFonts w:ascii="Times New Roman" w:eastAsia="Times New Roman" w:hAnsi="Times New Roman" w:cs="Times New Roman"/>
        </w:rPr>
        <w:t>s a cobrir despesas não previstas.</w:t>
      </w:r>
    </w:p>
    <w:p w14:paraId="0FE36D03" w14:textId="088FFD44"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Tecidas tais considerações, passa-se, então, à análise de quais foram as principais fontes de recurso utilizadas para a abertura desses créditos adicionais. Conforme já abordado, a Lei nº 4.320/64 e o DL nº 200/67 </w:t>
      </w:r>
      <w:r w:rsidR="00EE7006" w:rsidRPr="00F05EF7">
        <w:rPr>
          <w:rFonts w:ascii="Times New Roman" w:eastAsia="Times New Roman" w:hAnsi="Times New Roman" w:cs="Times New Roman"/>
        </w:rPr>
        <w:t xml:space="preserve">exigem que para a abertura de créditos adicionais seja indicada </w:t>
      </w:r>
      <w:r w:rsidR="00D91CB9" w:rsidRPr="00F05EF7">
        <w:rPr>
          <w:rFonts w:ascii="Times New Roman" w:eastAsia="Times New Roman" w:hAnsi="Times New Roman" w:cs="Times New Roman"/>
        </w:rPr>
        <w:t>a fonte de recurso, que podem ser</w:t>
      </w:r>
      <w:r w:rsidR="00EE7006" w:rsidRPr="00F05EF7">
        <w:rPr>
          <w:rFonts w:ascii="Times New Roman" w:eastAsia="Times New Roman" w:hAnsi="Times New Roman" w:cs="Times New Roman"/>
        </w:rPr>
        <w:t xml:space="preserve">: </w:t>
      </w:r>
      <w:r w:rsidRPr="006026C8">
        <w:rPr>
          <w:rFonts w:ascii="Times New Roman" w:eastAsia="Times New Roman" w:hAnsi="Times New Roman" w:cs="Times New Roman"/>
        </w:rPr>
        <w:t xml:space="preserve">superávit </w:t>
      </w:r>
      <w:r w:rsidRPr="00F05EF7">
        <w:rPr>
          <w:rFonts w:ascii="Times New Roman" w:eastAsia="Times New Roman" w:hAnsi="Times New Roman" w:cs="Times New Roman"/>
        </w:rPr>
        <w:t>financeiro, excesso de arrecadação, anulação de dotação, operação de crédito, veto/emenda/rejeição</w:t>
      </w:r>
      <w:r w:rsidR="00EE7006" w:rsidRPr="00F05EF7">
        <w:rPr>
          <w:rFonts w:ascii="Times New Roman" w:eastAsia="Times New Roman" w:hAnsi="Times New Roman" w:cs="Times New Roman"/>
        </w:rPr>
        <w:t>/outros</w:t>
      </w:r>
      <w:r w:rsidRPr="00F05EF7">
        <w:rPr>
          <w:rFonts w:ascii="Times New Roman" w:eastAsia="Times New Roman" w:hAnsi="Times New Roman" w:cs="Times New Roman"/>
        </w:rPr>
        <w:t xml:space="preserve"> e reserva de contingência.</w:t>
      </w:r>
    </w:p>
    <w:p w14:paraId="11DAEB39" w14:textId="0C9F505E" w:rsidR="00821527" w:rsidRDefault="00F9587A" w:rsidP="00AD5592">
      <w:pPr>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b/>
        <w:t>A T</w:t>
      </w:r>
      <w:r w:rsidR="00A92692" w:rsidRPr="00F05EF7">
        <w:rPr>
          <w:rFonts w:ascii="Times New Roman" w:eastAsia="Times New Roman" w:hAnsi="Times New Roman" w:cs="Times New Roman"/>
        </w:rPr>
        <w:t>abela</w:t>
      </w:r>
      <w:r w:rsidR="0010504B" w:rsidRPr="00F05EF7">
        <w:rPr>
          <w:rFonts w:ascii="Times New Roman" w:eastAsia="Times New Roman" w:hAnsi="Times New Roman" w:cs="Times New Roman"/>
        </w:rPr>
        <w:t xml:space="preserve"> </w:t>
      </w:r>
      <w:r w:rsidR="00051C18" w:rsidRPr="00F05EF7">
        <w:rPr>
          <w:rFonts w:ascii="Times New Roman" w:eastAsia="Times New Roman" w:hAnsi="Times New Roman" w:cs="Times New Roman"/>
        </w:rPr>
        <w:t>2</w:t>
      </w:r>
      <w:r w:rsidR="0010504B" w:rsidRPr="00F05EF7">
        <w:rPr>
          <w:rFonts w:ascii="Times New Roman" w:eastAsia="Times New Roman" w:hAnsi="Times New Roman" w:cs="Times New Roman"/>
        </w:rPr>
        <w:t xml:space="preserve"> </w:t>
      </w:r>
      <w:r w:rsidR="00DC62B4">
        <w:rPr>
          <w:rFonts w:ascii="Times New Roman" w:eastAsia="Times New Roman" w:hAnsi="Times New Roman" w:cs="Times New Roman"/>
        </w:rPr>
        <w:t>mostra</w:t>
      </w:r>
      <w:r w:rsidR="0010504B" w:rsidRPr="00F05EF7">
        <w:rPr>
          <w:rFonts w:ascii="Times New Roman" w:eastAsia="Times New Roman" w:hAnsi="Times New Roman" w:cs="Times New Roman"/>
        </w:rPr>
        <w:t xml:space="preserve"> as fontes de recurso utilizadas para abertura de créditos adicionais em percentis, no período de 2014 a 2018, do município de Agudo</w:t>
      </w:r>
      <w:r w:rsidR="00A92692" w:rsidRPr="00F05EF7">
        <w:rPr>
          <w:rFonts w:ascii="Times New Roman" w:eastAsia="Times New Roman" w:hAnsi="Times New Roman" w:cs="Times New Roman"/>
        </w:rPr>
        <w:t xml:space="preserve">, </w:t>
      </w:r>
      <w:r w:rsidR="0010504B" w:rsidRPr="00F05EF7">
        <w:rPr>
          <w:rFonts w:ascii="Times New Roman" w:eastAsia="Times New Roman" w:hAnsi="Times New Roman" w:cs="Times New Roman"/>
        </w:rPr>
        <w:t xml:space="preserve">ou seja, demonstra quanto </w:t>
      </w:r>
      <w:r w:rsidR="00DC62B4">
        <w:rPr>
          <w:rFonts w:ascii="Times New Roman" w:eastAsia="Times New Roman" w:hAnsi="Times New Roman" w:cs="Times New Roman"/>
        </w:rPr>
        <w:t xml:space="preserve">por cento </w:t>
      </w:r>
      <w:r w:rsidR="0010504B" w:rsidRPr="00F05EF7">
        <w:rPr>
          <w:rFonts w:ascii="Times New Roman" w:eastAsia="Times New Roman" w:hAnsi="Times New Roman" w:cs="Times New Roman"/>
        </w:rPr>
        <w:t>foi aberto em créditos adicionais</w:t>
      </w:r>
      <w:r w:rsidR="00DC62B4">
        <w:rPr>
          <w:rFonts w:ascii="Times New Roman" w:eastAsia="Times New Roman" w:hAnsi="Times New Roman" w:cs="Times New Roman"/>
        </w:rPr>
        <w:t>,</w:t>
      </w:r>
      <w:r w:rsidR="0010504B" w:rsidRPr="00F05EF7">
        <w:rPr>
          <w:rFonts w:ascii="Times New Roman" w:eastAsia="Times New Roman" w:hAnsi="Times New Roman" w:cs="Times New Roman"/>
        </w:rPr>
        <w:t xml:space="preserve"> </w:t>
      </w:r>
      <w:r w:rsidR="00D91CB9" w:rsidRPr="00F05EF7">
        <w:rPr>
          <w:rFonts w:ascii="Times New Roman" w:eastAsia="Times New Roman" w:hAnsi="Times New Roman" w:cs="Times New Roman"/>
        </w:rPr>
        <w:t>no período</w:t>
      </w:r>
      <w:r w:rsidR="00DC62B4">
        <w:rPr>
          <w:rFonts w:ascii="Times New Roman" w:eastAsia="Times New Roman" w:hAnsi="Times New Roman" w:cs="Times New Roman"/>
        </w:rPr>
        <w:t xml:space="preserve"> de 2014 a 2018, </w:t>
      </w:r>
      <w:r w:rsidR="0010504B" w:rsidRPr="00F05EF7">
        <w:rPr>
          <w:rFonts w:ascii="Times New Roman" w:eastAsia="Times New Roman" w:hAnsi="Times New Roman" w:cs="Times New Roman"/>
        </w:rPr>
        <w:t xml:space="preserve">com fonte de recursos de </w:t>
      </w:r>
      <w:r w:rsidR="0010504B" w:rsidRPr="006026C8">
        <w:rPr>
          <w:rFonts w:ascii="Times New Roman" w:eastAsia="Times New Roman" w:hAnsi="Times New Roman" w:cs="Times New Roman"/>
        </w:rPr>
        <w:t>superávit</w:t>
      </w:r>
      <w:r w:rsidR="0010504B" w:rsidRPr="00F05EF7">
        <w:rPr>
          <w:rFonts w:ascii="Times New Roman" w:eastAsia="Times New Roman" w:hAnsi="Times New Roman" w:cs="Times New Roman"/>
        </w:rPr>
        <w:t xml:space="preserve"> financeiro, excesso de arrecadação, anulação de dotação, operação de crédito e outras fontes</w:t>
      </w:r>
      <w:r w:rsidR="00DC62B4">
        <w:rPr>
          <w:rFonts w:ascii="Times New Roman" w:eastAsia="Times New Roman" w:hAnsi="Times New Roman" w:cs="Times New Roman"/>
        </w:rPr>
        <w:t xml:space="preserve"> de recurso, assim como o total.</w:t>
      </w:r>
    </w:p>
    <w:p w14:paraId="56DAE6BC" w14:textId="77777777" w:rsidR="00F9587A" w:rsidRPr="00F05EF7" w:rsidRDefault="00F9587A" w:rsidP="00AD5592">
      <w:pPr>
        <w:widowControl w:val="0"/>
        <w:pBdr>
          <w:top w:val="nil"/>
          <w:left w:val="nil"/>
          <w:bottom w:val="nil"/>
          <w:right w:val="nil"/>
          <w:between w:val="nil"/>
        </w:pBdr>
        <w:jc w:val="both"/>
        <w:rPr>
          <w:rFonts w:ascii="Times New Roman" w:eastAsia="Times New Roman" w:hAnsi="Times New Roman" w:cs="Times New Roman"/>
        </w:rPr>
      </w:pPr>
    </w:p>
    <w:p w14:paraId="1504675C" w14:textId="7AD6EE5D"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F9587A" w:rsidRPr="00AF0520">
        <w:rPr>
          <w:rFonts w:ascii="Times New Roman" w:eastAsia="Times New Roman" w:hAnsi="Times New Roman" w:cs="Times New Roman"/>
          <w:b/>
          <w:bCs/>
        </w:rPr>
        <w:t>2</w:t>
      </w:r>
      <w:r w:rsidRPr="00AF0520">
        <w:rPr>
          <w:rFonts w:ascii="Times New Roman" w:eastAsia="Times New Roman" w:hAnsi="Times New Roman" w:cs="Times New Roman"/>
          <w:b/>
          <w:bCs/>
        </w:rPr>
        <w:t xml:space="preserve"> – Fontes dos créditos adicionais de Agudo, em percentual</w:t>
      </w:r>
    </w:p>
    <w:tbl>
      <w:tblPr>
        <w:tblStyle w:val="af3"/>
        <w:tblW w:w="5000" w:type="pct"/>
        <w:jc w:val="right"/>
        <w:tblInd w:w="0" w:type="dxa"/>
        <w:tblLook w:val="0400" w:firstRow="0" w:lastRow="0" w:firstColumn="0" w:lastColumn="0" w:noHBand="0" w:noVBand="1"/>
      </w:tblPr>
      <w:tblGrid>
        <w:gridCol w:w="1105"/>
        <w:gridCol w:w="1317"/>
        <w:gridCol w:w="1473"/>
        <w:gridCol w:w="1324"/>
        <w:gridCol w:w="1473"/>
        <w:gridCol w:w="1225"/>
        <w:gridCol w:w="1154"/>
      </w:tblGrid>
      <w:tr w:rsidR="00F05EF7" w:rsidRPr="00F05EF7" w14:paraId="6A905F15" w14:textId="77777777" w:rsidTr="00930D82">
        <w:trPr>
          <w:trHeight w:val="240"/>
          <w:jc w:val="right"/>
        </w:trPr>
        <w:tc>
          <w:tcPr>
            <w:tcW w:w="609" w:type="pct"/>
            <w:vMerge w:val="restart"/>
            <w:tcBorders>
              <w:top w:val="single" w:sz="8" w:space="0" w:color="000000"/>
              <w:left w:val="nil"/>
              <w:bottom w:val="single" w:sz="8" w:space="0" w:color="000000"/>
              <w:right w:val="single" w:sz="8" w:space="0" w:color="000000"/>
            </w:tcBorders>
            <w:shd w:val="clear" w:color="auto" w:fill="auto"/>
            <w:vAlign w:val="center"/>
          </w:tcPr>
          <w:p w14:paraId="64FDDE1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3DA52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Superávit financeiro</w:t>
            </w:r>
          </w:p>
        </w:tc>
        <w:tc>
          <w:tcPr>
            <w:tcW w:w="81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F63EC9"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Excesso de arrecadação</w:t>
            </w:r>
          </w:p>
        </w:tc>
        <w:tc>
          <w:tcPr>
            <w:tcW w:w="73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D368A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Anulação de dotação</w:t>
            </w:r>
          </w:p>
        </w:tc>
        <w:tc>
          <w:tcPr>
            <w:tcW w:w="81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63B5E0"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Operação de crédito</w:t>
            </w:r>
          </w:p>
        </w:tc>
        <w:tc>
          <w:tcPr>
            <w:tcW w:w="675" w:type="pct"/>
            <w:vMerge w:val="restart"/>
            <w:tcBorders>
              <w:top w:val="single" w:sz="8" w:space="0" w:color="000000"/>
              <w:left w:val="single" w:sz="8" w:space="0" w:color="000000"/>
              <w:bottom w:val="single" w:sz="8" w:space="0" w:color="000000"/>
              <w:right w:val="nil"/>
            </w:tcBorders>
            <w:shd w:val="clear" w:color="auto" w:fill="auto"/>
            <w:vAlign w:val="center"/>
          </w:tcPr>
          <w:p w14:paraId="274523F9"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636" w:type="pct"/>
            <w:vMerge w:val="restart"/>
            <w:tcBorders>
              <w:top w:val="single" w:sz="8" w:space="0" w:color="000000"/>
              <w:left w:val="single" w:sz="4" w:space="0" w:color="000000"/>
              <w:bottom w:val="single" w:sz="4" w:space="0" w:color="000000"/>
              <w:right w:val="nil"/>
            </w:tcBorders>
            <w:shd w:val="clear" w:color="auto" w:fill="auto"/>
            <w:vAlign w:val="center"/>
          </w:tcPr>
          <w:p w14:paraId="2281D9E1"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5DDEB3EC" w14:textId="77777777" w:rsidTr="00930D82">
        <w:trPr>
          <w:trHeight w:val="264"/>
          <w:jc w:val="right"/>
        </w:trPr>
        <w:tc>
          <w:tcPr>
            <w:tcW w:w="609" w:type="pct"/>
            <w:vMerge/>
            <w:tcBorders>
              <w:top w:val="single" w:sz="8" w:space="0" w:color="000000"/>
              <w:left w:val="nil"/>
              <w:bottom w:val="single" w:sz="8" w:space="0" w:color="000000"/>
              <w:right w:val="single" w:sz="8" w:space="0" w:color="000000"/>
            </w:tcBorders>
            <w:shd w:val="clear" w:color="auto" w:fill="auto"/>
            <w:vAlign w:val="center"/>
          </w:tcPr>
          <w:p w14:paraId="3F9C9A5F"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DAFE02"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81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4F8836"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2978A1"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81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057974"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75" w:type="pct"/>
            <w:vMerge/>
            <w:tcBorders>
              <w:top w:val="single" w:sz="8" w:space="0" w:color="000000"/>
              <w:left w:val="single" w:sz="8" w:space="0" w:color="000000"/>
              <w:bottom w:val="single" w:sz="8" w:space="0" w:color="000000"/>
              <w:right w:val="nil"/>
            </w:tcBorders>
            <w:shd w:val="clear" w:color="auto" w:fill="auto"/>
            <w:vAlign w:val="center"/>
          </w:tcPr>
          <w:p w14:paraId="0E111D21"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36" w:type="pct"/>
            <w:vMerge/>
            <w:tcBorders>
              <w:top w:val="single" w:sz="8" w:space="0" w:color="000000"/>
              <w:left w:val="single" w:sz="4" w:space="0" w:color="000000"/>
              <w:bottom w:val="single" w:sz="4" w:space="0" w:color="000000"/>
              <w:right w:val="nil"/>
            </w:tcBorders>
            <w:shd w:val="clear" w:color="auto" w:fill="auto"/>
            <w:vAlign w:val="center"/>
          </w:tcPr>
          <w:p w14:paraId="41972121"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r>
      <w:tr w:rsidR="00F05EF7" w:rsidRPr="00F05EF7" w14:paraId="610F803B" w14:textId="77777777" w:rsidTr="00930D82">
        <w:trPr>
          <w:trHeight w:val="260"/>
          <w:jc w:val="right"/>
        </w:trPr>
        <w:tc>
          <w:tcPr>
            <w:tcW w:w="609" w:type="pct"/>
            <w:tcBorders>
              <w:top w:val="nil"/>
              <w:left w:val="nil"/>
              <w:bottom w:val="single" w:sz="8" w:space="0" w:color="000000"/>
              <w:right w:val="single" w:sz="8" w:space="0" w:color="000000"/>
            </w:tcBorders>
            <w:shd w:val="clear" w:color="auto" w:fill="auto"/>
            <w:vAlign w:val="center"/>
          </w:tcPr>
          <w:p w14:paraId="43A942C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726" w:type="pct"/>
            <w:tcBorders>
              <w:top w:val="nil"/>
              <w:left w:val="nil"/>
              <w:bottom w:val="single" w:sz="8" w:space="0" w:color="000000"/>
              <w:right w:val="single" w:sz="8" w:space="0" w:color="000000"/>
            </w:tcBorders>
            <w:shd w:val="clear" w:color="auto" w:fill="auto"/>
            <w:vAlign w:val="center"/>
          </w:tcPr>
          <w:p w14:paraId="4F7357D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31,81%</w:t>
            </w:r>
          </w:p>
        </w:tc>
        <w:tc>
          <w:tcPr>
            <w:tcW w:w="812" w:type="pct"/>
            <w:tcBorders>
              <w:top w:val="nil"/>
              <w:left w:val="nil"/>
              <w:bottom w:val="single" w:sz="8" w:space="0" w:color="000000"/>
              <w:right w:val="single" w:sz="8" w:space="0" w:color="000000"/>
            </w:tcBorders>
            <w:shd w:val="clear" w:color="auto" w:fill="auto"/>
            <w:vAlign w:val="center"/>
          </w:tcPr>
          <w:p w14:paraId="16FD5F2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10,57%</w:t>
            </w:r>
          </w:p>
        </w:tc>
        <w:tc>
          <w:tcPr>
            <w:tcW w:w="730" w:type="pct"/>
            <w:tcBorders>
              <w:top w:val="nil"/>
              <w:left w:val="nil"/>
              <w:bottom w:val="single" w:sz="8" w:space="0" w:color="000000"/>
              <w:right w:val="single" w:sz="8" w:space="0" w:color="000000"/>
            </w:tcBorders>
            <w:shd w:val="clear" w:color="auto" w:fill="auto"/>
            <w:vAlign w:val="center"/>
          </w:tcPr>
          <w:p w14:paraId="1138D7D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57,62%</w:t>
            </w:r>
          </w:p>
        </w:tc>
        <w:tc>
          <w:tcPr>
            <w:tcW w:w="812" w:type="pct"/>
            <w:tcBorders>
              <w:top w:val="nil"/>
              <w:left w:val="nil"/>
              <w:bottom w:val="single" w:sz="8" w:space="0" w:color="000000"/>
              <w:right w:val="single" w:sz="8" w:space="0" w:color="000000"/>
            </w:tcBorders>
            <w:shd w:val="clear" w:color="auto" w:fill="auto"/>
            <w:vAlign w:val="center"/>
          </w:tcPr>
          <w:p w14:paraId="4CBCA65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75" w:type="pct"/>
            <w:tcBorders>
              <w:top w:val="nil"/>
              <w:left w:val="nil"/>
              <w:bottom w:val="single" w:sz="8" w:space="0" w:color="000000"/>
              <w:right w:val="nil"/>
            </w:tcBorders>
            <w:shd w:val="clear" w:color="auto" w:fill="auto"/>
            <w:vAlign w:val="center"/>
          </w:tcPr>
          <w:p w14:paraId="7C4779D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36" w:type="pct"/>
            <w:tcBorders>
              <w:top w:val="nil"/>
              <w:left w:val="single" w:sz="4" w:space="0" w:color="000000"/>
              <w:bottom w:val="single" w:sz="4" w:space="0" w:color="000000"/>
              <w:right w:val="nil"/>
            </w:tcBorders>
            <w:shd w:val="clear" w:color="auto" w:fill="auto"/>
            <w:vAlign w:val="center"/>
          </w:tcPr>
          <w:p w14:paraId="5D1A9D40"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108A9050" w14:textId="77777777" w:rsidTr="00930D82">
        <w:trPr>
          <w:trHeight w:val="240"/>
          <w:jc w:val="right"/>
        </w:trPr>
        <w:tc>
          <w:tcPr>
            <w:tcW w:w="609" w:type="pct"/>
            <w:tcBorders>
              <w:top w:val="nil"/>
              <w:left w:val="nil"/>
              <w:bottom w:val="single" w:sz="8" w:space="0" w:color="000000"/>
              <w:right w:val="single" w:sz="8" w:space="0" w:color="000000"/>
            </w:tcBorders>
            <w:shd w:val="clear" w:color="auto" w:fill="auto"/>
            <w:vAlign w:val="center"/>
          </w:tcPr>
          <w:p w14:paraId="2AB74B6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726" w:type="pct"/>
            <w:tcBorders>
              <w:top w:val="nil"/>
              <w:left w:val="nil"/>
              <w:bottom w:val="single" w:sz="8" w:space="0" w:color="000000"/>
              <w:right w:val="single" w:sz="8" w:space="0" w:color="000000"/>
            </w:tcBorders>
            <w:shd w:val="clear" w:color="auto" w:fill="auto"/>
            <w:vAlign w:val="center"/>
          </w:tcPr>
          <w:p w14:paraId="54D54EF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6,98%</w:t>
            </w:r>
          </w:p>
        </w:tc>
        <w:tc>
          <w:tcPr>
            <w:tcW w:w="812" w:type="pct"/>
            <w:tcBorders>
              <w:top w:val="nil"/>
              <w:left w:val="nil"/>
              <w:bottom w:val="single" w:sz="8" w:space="0" w:color="000000"/>
              <w:right w:val="single" w:sz="8" w:space="0" w:color="000000"/>
            </w:tcBorders>
            <w:shd w:val="clear" w:color="auto" w:fill="auto"/>
            <w:vAlign w:val="center"/>
          </w:tcPr>
          <w:p w14:paraId="164346A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4,05%</w:t>
            </w:r>
          </w:p>
        </w:tc>
        <w:tc>
          <w:tcPr>
            <w:tcW w:w="730" w:type="pct"/>
            <w:tcBorders>
              <w:top w:val="nil"/>
              <w:left w:val="nil"/>
              <w:bottom w:val="single" w:sz="8" w:space="0" w:color="000000"/>
              <w:right w:val="single" w:sz="8" w:space="0" w:color="000000"/>
            </w:tcBorders>
            <w:shd w:val="clear" w:color="auto" w:fill="auto"/>
            <w:vAlign w:val="center"/>
          </w:tcPr>
          <w:p w14:paraId="2DFB38B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88,97%</w:t>
            </w:r>
          </w:p>
        </w:tc>
        <w:tc>
          <w:tcPr>
            <w:tcW w:w="812" w:type="pct"/>
            <w:tcBorders>
              <w:top w:val="nil"/>
              <w:left w:val="nil"/>
              <w:bottom w:val="single" w:sz="8" w:space="0" w:color="000000"/>
              <w:right w:val="single" w:sz="8" w:space="0" w:color="000000"/>
            </w:tcBorders>
            <w:shd w:val="clear" w:color="auto" w:fill="auto"/>
            <w:vAlign w:val="center"/>
          </w:tcPr>
          <w:p w14:paraId="19BC4EA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75" w:type="pct"/>
            <w:tcBorders>
              <w:top w:val="nil"/>
              <w:left w:val="nil"/>
              <w:bottom w:val="single" w:sz="8" w:space="0" w:color="000000"/>
              <w:right w:val="nil"/>
            </w:tcBorders>
            <w:shd w:val="clear" w:color="auto" w:fill="auto"/>
            <w:vAlign w:val="center"/>
          </w:tcPr>
          <w:p w14:paraId="6821312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36" w:type="pct"/>
            <w:tcBorders>
              <w:top w:val="nil"/>
              <w:left w:val="single" w:sz="4" w:space="0" w:color="000000"/>
              <w:bottom w:val="single" w:sz="4" w:space="0" w:color="000000"/>
              <w:right w:val="nil"/>
            </w:tcBorders>
            <w:shd w:val="clear" w:color="auto" w:fill="auto"/>
            <w:vAlign w:val="center"/>
          </w:tcPr>
          <w:p w14:paraId="5C67ADF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7A6D532A" w14:textId="77777777" w:rsidTr="00930D82">
        <w:trPr>
          <w:trHeight w:val="240"/>
          <w:jc w:val="right"/>
        </w:trPr>
        <w:tc>
          <w:tcPr>
            <w:tcW w:w="609" w:type="pct"/>
            <w:tcBorders>
              <w:top w:val="nil"/>
              <w:left w:val="nil"/>
              <w:bottom w:val="single" w:sz="8" w:space="0" w:color="000000"/>
              <w:right w:val="single" w:sz="8" w:space="0" w:color="000000"/>
            </w:tcBorders>
            <w:shd w:val="clear" w:color="auto" w:fill="auto"/>
            <w:vAlign w:val="center"/>
          </w:tcPr>
          <w:p w14:paraId="2ECF18E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726" w:type="pct"/>
            <w:tcBorders>
              <w:top w:val="nil"/>
              <w:left w:val="nil"/>
              <w:bottom w:val="single" w:sz="8" w:space="0" w:color="000000"/>
              <w:right w:val="single" w:sz="8" w:space="0" w:color="000000"/>
            </w:tcBorders>
            <w:shd w:val="clear" w:color="auto" w:fill="auto"/>
            <w:vAlign w:val="center"/>
          </w:tcPr>
          <w:p w14:paraId="59FAB5C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7,81%</w:t>
            </w:r>
          </w:p>
        </w:tc>
        <w:tc>
          <w:tcPr>
            <w:tcW w:w="812" w:type="pct"/>
            <w:tcBorders>
              <w:top w:val="nil"/>
              <w:left w:val="nil"/>
              <w:bottom w:val="single" w:sz="8" w:space="0" w:color="000000"/>
              <w:right w:val="single" w:sz="8" w:space="0" w:color="000000"/>
            </w:tcBorders>
            <w:shd w:val="clear" w:color="auto" w:fill="auto"/>
            <w:vAlign w:val="center"/>
          </w:tcPr>
          <w:p w14:paraId="021C49B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29,40%</w:t>
            </w:r>
          </w:p>
        </w:tc>
        <w:tc>
          <w:tcPr>
            <w:tcW w:w="730" w:type="pct"/>
            <w:tcBorders>
              <w:top w:val="nil"/>
              <w:left w:val="nil"/>
              <w:bottom w:val="single" w:sz="8" w:space="0" w:color="000000"/>
              <w:right w:val="single" w:sz="8" w:space="0" w:color="000000"/>
            </w:tcBorders>
            <w:shd w:val="clear" w:color="auto" w:fill="auto"/>
            <w:vAlign w:val="center"/>
          </w:tcPr>
          <w:p w14:paraId="1243E03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53,42%</w:t>
            </w:r>
          </w:p>
        </w:tc>
        <w:tc>
          <w:tcPr>
            <w:tcW w:w="812" w:type="pct"/>
            <w:tcBorders>
              <w:top w:val="nil"/>
              <w:left w:val="nil"/>
              <w:bottom w:val="single" w:sz="8" w:space="0" w:color="000000"/>
              <w:right w:val="single" w:sz="8" w:space="0" w:color="000000"/>
            </w:tcBorders>
            <w:shd w:val="clear" w:color="auto" w:fill="auto"/>
            <w:vAlign w:val="center"/>
          </w:tcPr>
          <w:p w14:paraId="50FCB04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6,24%</w:t>
            </w:r>
          </w:p>
        </w:tc>
        <w:tc>
          <w:tcPr>
            <w:tcW w:w="675" w:type="pct"/>
            <w:tcBorders>
              <w:top w:val="nil"/>
              <w:left w:val="nil"/>
              <w:bottom w:val="single" w:sz="8" w:space="0" w:color="000000"/>
              <w:right w:val="nil"/>
            </w:tcBorders>
            <w:shd w:val="clear" w:color="auto" w:fill="auto"/>
            <w:vAlign w:val="center"/>
          </w:tcPr>
          <w:p w14:paraId="0903D45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3,12%</w:t>
            </w:r>
          </w:p>
        </w:tc>
        <w:tc>
          <w:tcPr>
            <w:tcW w:w="636" w:type="pct"/>
            <w:tcBorders>
              <w:top w:val="nil"/>
              <w:left w:val="single" w:sz="4" w:space="0" w:color="000000"/>
              <w:bottom w:val="single" w:sz="4" w:space="0" w:color="000000"/>
              <w:right w:val="nil"/>
            </w:tcBorders>
            <w:shd w:val="clear" w:color="auto" w:fill="auto"/>
            <w:vAlign w:val="center"/>
          </w:tcPr>
          <w:p w14:paraId="72F6A03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215E73DC" w14:textId="77777777" w:rsidTr="00930D82">
        <w:trPr>
          <w:trHeight w:val="240"/>
          <w:jc w:val="right"/>
        </w:trPr>
        <w:tc>
          <w:tcPr>
            <w:tcW w:w="609" w:type="pct"/>
            <w:tcBorders>
              <w:top w:val="nil"/>
              <w:left w:val="nil"/>
              <w:bottom w:val="single" w:sz="8" w:space="0" w:color="000000"/>
              <w:right w:val="single" w:sz="8" w:space="0" w:color="000000"/>
            </w:tcBorders>
            <w:shd w:val="clear" w:color="auto" w:fill="auto"/>
            <w:vAlign w:val="center"/>
          </w:tcPr>
          <w:p w14:paraId="4F1C75C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726" w:type="pct"/>
            <w:tcBorders>
              <w:top w:val="nil"/>
              <w:left w:val="nil"/>
              <w:bottom w:val="single" w:sz="8" w:space="0" w:color="000000"/>
              <w:right w:val="single" w:sz="8" w:space="0" w:color="000000"/>
            </w:tcBorders>
            <w:shd w:val="clear" w:color="auto" w:fill="auto"/>
            <w:vAlign w:val="center"/>
          </w:tcPr>
          <w:p w14:paraId="11DE64E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7,11%</w:t>
            </w:r>
          </w:p>
        </w:tc>
        <w:tc>
          <w:tcPr>
            <w:tcW w:w="812" w:type="pct"/>
            <w:tcBorders>
              <w:top w:val="nil"/>
              <w:left w:val="nil"/>
              <w:bottom w:val="single" w:sz="8" w:space="0" w:color="000000"/>
              <w:right w:val="single" w:sz="8" w:space="0" w:color="000000"/>
            </w:tcBorders>
            <w:shd w:val="clear" w:color="auto" w:fill="auto"/>
            <w:vAlign w:val="center"/>
          </w:tcPr>
          <w:p w14:paraId="1BD29C9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7,51%</w:t>
            </w:r>
          </w:p>
        </w:tc>
        <w:tc>
          <w:tcPr>
            <w:tcW w:w="730" w:type="pct"/>
            <w:tcBorders>
              <w:top w:val="nil"/>
              <w:left w:val="nil"/>
              <w:bottom w:val="single" w:sz="8" w:space="0" w:color="000000"/>
              <w:right w:val="single" w:sz="8" w:space="0" w:color="000000"/>
            </w:tcBorders>
            <w:shd w:val="clear" w:color="auto" w:fill="auto"/>
            <w:vAlign w:val="center"/>
          </w:tcPr>
          <w:p w14:paraId="79CDDAB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80,20%</w:t>
            </w:r>
          </w:p>
        </w:tc>
        <w:tc>
          <w:tcPr>
            <w:tcW w:w="812" w:type="pct"/>
            <w:tcBorders>
              <w:top w:val="nil"/>
              <w:left w:val="nil"/>
              <w:bottom w:val="single" w:sz="8" w:space="0" w:color="000000"/>
              <w:right w:val="single" w:sz="8" w:space="0" w:color="000000"/>
            </w:tcBorders>
            <w:shd w:val="clear" w:color="auto" w:fill="auto"/>
            <w:vAlign w:val="center"/>
          </w:tcPr>
          <w:p w14:paraId="694C8F7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75" w:type="pct"/>
            <w:tcBorders>
              <w:top w:val="nil"/>
              <w:left w:val="nil"/>
              <w:bottom w:val="single" w:sz="8" w:space="0" w:color="000000"/>
              <w:right w:val="nil"/>
            </w:tcBorders>
            <w:shd w:val="clear" w:color="auto" w:fill="auto"/>
            <w:vAlign w:val="center"/>
          </w:tcPr>
          <w:p w14:paraId="3928EB8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5,18%</w:t>
            </w:r>
          </w:p>
        </w:tc>
        <w:tc>
          <w:tcPr>
            <w:tcW w:w="636" w:type="pct"/>
            <w:tcBorders>
              <w:top w:val="nil"/>
              <w:left w:val="single" w:sz="4" w:space="0" w:color="000000"/>
              <w:bottom w:val="single" w:sz="4" w:space="0" w:color="000000"/>
              <w:right w:val="nil"/>
            </w:tcBorders>
            <w:shd w:val="clear" w:color="auto" w:fill="auto"/>
            <w:vAlign w:val="center"/>
          </w:tcPr>
          <w:p w14:paraId="71DF5F7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4CA8D2A0" w14:textId="77777777" w:rsidTr="00930D82">
        <w:trPr>
          <w:trHeight w:val="240"/>
          <w:jc w:val="right"/>
        </w:trPr>
        <w:tc>
          <w:tcPr>
            <w:tcW w:w="609" w:type="pct"/>
            <w:tcBorders>
              <w:top w:val="nil"/>
              <w:left w:val="nil"/>
              <w:bottom w:val="single" w:sz="8" w:space="0" w:color="000000"/>
              <w:right w:val="single" w:sz="8" w:space="0" w:color="000000"/>
            </w:tcBorders>
            <w:shd w:val="clear" w:color="auto" w:fill="auto"/>
            <w:vAlign w:val="center"/>
          </w:tcPr>
          <w:p w14:paraId="3F8F7CB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726" w:type="pct"/>
            <w:tcBorders>
              <w:top w:val="nil"/>
              <w:left w:val="nil"/>
              <w:bottom w:val="single" w:sz="8" w:space="0" w:color="000000"/>
              <w:right w:val="single" w:sz="8" w:space="0" w:color="000000"/>
            </w:tcBorders>
            <w:shd w:val="clear" w:color="auto" w:fill="auto"/>
            <w:vAlign w:val="center"/>
          </w:tcPr>
          <w:p w14:paraId="7EB132E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4,23%</w:t>
            </w:r>
          </w:p>
        </w:tc>
        <w:tc>
          <w:tcPr>
            <w:tcW w:w="812" w:type="pct"/>
            <w:tcBorders>
              <w:top w:val="nil"/>
              <w:left w:val="nil"/>
              <w:bottom w:val="single" w:sz="8" w:space="0" w:color="000000"/>
              <w:right w:val="single" w:sz="8" w:space="0" w:color="000000"/>
            </w:tcBorders>
            <w:shd w:val="clear" w:color="auto" w:fill="auto"/>
            <w:vAlign w:val="center"/>
          </w:tcPr>
          <w:p w14:paraId="6EF9C1D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15,93%</w:t>
            </w:r>
          </w:p>
        </w:tc>
        <w:tc>
          <w:tcPr>
            <w:tcW w:w="730" w:type="pct"/>
            <w:tcBorders>
              <w:top w:val="nil"/>
              <w:left w:val="nil"/>
              <w:bottom w:val="single" w:sz="8" w:space="0" w:color="000000"/>
              <w:right w:val="single" w:sz="8" w:space="0" w:color="000000"/>
            </w:tcBorders>
            <w:shd w:val="clear" w:color="auto" w:fill="auto"/>
            <w:vAlign w:val="center"/>
          </w:tcPr>
          <w:p w14:paraId="7E8F63A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78,51%</w:t>
            </w:r>
          </w:p>
        </w:tc>
        <w:tc>
          <w:tcPr>
            <w:tcW w:w="812" w:type="pct"/>
            <w:tcBorders>
              <w:top w:val="nil"/>
              <w:left w:val="nil"/>
              <w:bottom w:val="single" w:sz="8" w:space="0" w:color="000000"/>
              <w:right w:val="single" w:sz="8" w:space="0" w:color="000000"/>
            </w:tcBorders>
            <w:shd w:val="clear" w:color="auto" w:fill="auto"/>
            <w:vAlign w:val="center"/>
          </w:tcPr>
          <w:p w14:paraId="5DEEB6D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75" w:type="pct"/>
            <w:tcBorders>
              <w:top w:val="nil"/>
              <w:left w:val="nil"/>
              <w:bottom w:val="single" w:sz="8" w:space="0" w:color="000000"/>
              <w:right w:val="nil"/>
            </w:tcBorders>
            <w:shd w:val="clear" w:color="auto" w:fill="auto"/>
            <w:vAlign w:val="center"/>
          </w:tcPr>
          <w:p w14:paraId="29E9205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1,33%</w:t>
            </w:r>
          </w:p>
        </w:tc>
        <w:tc>
          <w:tcPr>
            <w:tcW w:w="636" w:type="pct"/>
            <w:tcBorders>
              <w:top w:val="nil"/>
              <w:left w:val="single" w:sz="4" w:space="0" w:color="000000"/>
              <w:bottom w:val="single" w:sz="4" w:space="0" w:color="000000"/>
              <w:right w:val="nil"/>
            </w:tcBorders>
            <w:shd w:val="clear" w:color="auto" w:fill="auto"/>
            <w:vAlign w:val="center"/>
          </w:tcPr>
          <w:p w14:paraId="6F8B437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bl>
    <w:p w14:paraId="22834F36" w14:textId="228293F9" w:rsidR="00F9587A" w:rsidRDefault="00F9587A"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pelos autores com base na pesquisa.</w:t>
      </w:r>
    </w:p>
    <w:p w14:paraId="06738AA2" w14:textId="77777777" w:rsidR="00F9587A" w:rsidRPr="00F9587A" w:rsidRDefault="00F9587A" w:rsidP="00AD5592">
      <w:pPr>
        <w:widowControl w:val="0"/>
        <w:pBdr>
          <w:top w:val="nil"/>
          <w:left w:val="nil"/>
          <w:bottom w:val="nil"/>
          <w:right w:val="nil"/>
          <w:between w:val="nil"/>
        </w:pBdr>
        <w:ind w:firstLine="709"/>
        <w:jc w:val="both"/>
        <w:rPr>
          <w:rFonts w:ascii="Times New Roman" w:eastAsia="Times New Roman" w:hAnsi="Times New Roman" w:cs="Times New Roman"/>
          <w:sz w:val="20"/>
          <w:szCs w:val="20"/>
        </w:rPr>
      </w:pPr>
    </w:p>
    <w:p w14:paraId="0D1F1D66" w14:textId="1E2F9E0E"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A partir da análise da Tabela </w:t>
      </w:r>
      <w:r w:rsidR="00DC62B4">
        <w:rPr>
          <w:rFonts w:ascii="Times New Roman" w:eastAsia="Times New Roman" w:hAnsi="Times New Roman" w:cs="Times New Roman"/>
        </w:rPr>
        <w:t>2</w:t>
      </w:r>
      <w:r w:rsidRPr="00F05EF7">
        <w:rPr>
          <w:rFonts w:ascii="Times New Roman" w:eastAsia="Times New Roman" w:hAnsi="Times New Roman" w:cs="Times New Roman"/>
        </w:rPr>
        <w:t xml:space="preserve"> é possível observar que, </w:t>
      </w:r>
      <w:r w:rsidR="00D91CB9" w:rsidRPr="00F05EF7">
        <w:rPr>
          <w:rFonts w:ascii="Times New Roman" w:eastAsia="Times New Roman" w:hAnsi="Times New Roman" w:cs="Times New Roman"/>
        </w:rPr>
        <w:t>em</w:t>
      </w:r>
      <w:r w:rsidRPr="00F05EF7">
        <w:rPr>
          <w:rFonts w:ascii="Times New Roman" w:eastAsia="Times New Roman" w:hAnsi="Times New Roman" w:cs="Times New Roman"/>
        </w:rPr>
        <w:t xml:space="preserve"> Agudo, a fonte de recurso mais utilizada para a abertura dos créditos adicionais é anu</w:t>
      </w:r>
      <w:r w:rsidR="00D91CB9" w:rsidRPr="00F05EF7">
        <w:rPr>
          <w:rFonts w:ascii="Times New Roman" w:eastAsia="Times New Roman" w:hAnsi="Times New Roman" w:cs="Times New Roman"/>
        </w:rPr>
        <w:t xml:space="preserve">lação de dotação. Essa fonte </w:t>
      </w:r>
      <w:r w:rsidRPr="00F05EF7">
        <w:rPr>
          <w:rFonts w:ascii="Times New Roman" w:eastAsia="Times New Roman" w:hAnsi="Times New Roman" w:cs="Times New Roman"/>
        </w:rPr>
        <w:t>representou 57,62% dos créditos adicionais abertos em 2014, 88,97% em 2015, 53,42% em 2016, 80,20% em 2017 e 78,51% em 2018.</w:t>
      </w:r>
    </w:p>
    <w:p w14:paraId="7DB78707" w14:textId="002A613B"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Quanto aos demais valores, observa-se que os realocados como fonte de excesso de arrecadação representaram no mínimo de 4,05% (2015) e </w:t>
      </w:r>
      <w:r w:rsidR="00D91CB9" w:rsidRPr="00F05EF7">
        <w:rPr>
          <w:rFonts w:ascii="Times New Roman" w:eastAsia="Times New Roman" w:hAnsi="Times New Roman" w:cs="Times New Roman"/>
        </w:rPr>
        <w:t xml:space="preserve">no </w:t>
      </w:r>
      <w:r w:rsidRPr="00F05EF7">
        <w:rPr>
          <w:rFonts w:ascii="Times New Roman" w:eastAsia="Times New Roman" w:hAnsi="Times New Roman" w:cs="Times New Roman"/>
        </w:rPr>
        <w:t xml:space="preserve">máximo 29,40% (2016) dos créditos adicionais abertos no período, enquanto o </w:t>
      </w:r>
      <w:r w:rsidRPr="006026C8">
        <w:rPr>
          <w:rFonts w:ascii="Times New Roman" w:eastAsia="Times New Roman" w:hAnsi="Times New Roman" w:cs="Times New Roman"/>
        </w:rPr>
        <w:t xml:space="preserve">superávit </w:t>
      </w:r>
      <w:r w:rsidRPr="00F05EF7">
        <w:rPr>
          <w:rFonts w:ascii="Times New Roman" w:eastAsia="Times New Roman" w:hAnsi="Times New Roman" w:cs="Times New Roman"/>
        </w:rPr>
        <w:t>financeiro representou</w:t>
      </w:r>
      <w:r w:rsidR="00D91CB9" w:rsidRPr="00F05EF7">
        <w:rPr>
          <w:rFonts w:ascii="Times New Roman" w:eastAsia="Times New Roman" w:hAnsi="Times New Roman" w:cs="Times New Roman"/>
        </w:rPr>
        <w:t xml:space="preserve"> um</w:t>
      </w:r>
      <w:r w:rsidRPr="00F05EF7">
        <w:rPr>
          <w:rFonts w:ascii="Times New Roman" w:eastAsia="Times New Roman" w:hAnsi="Times New Roman" w:cs="Times New Roman"/>
        </w:rPr>
        <w:t xml:space="preserve"> mínimo de 4,23% (2018) e </w:t>
      </w:r>
      <w:r w:rsidR="00D91CB9" w:rsidRPr="00F05EF7">
        <w:rPr>
          <w:rFonts w:ascii="Times New Roman" w:eastAsia="Times New Roman" w:hAnsi="Times New Roman" w:cs="Times New Roman"/>
        </w:rPr>
        <w:t xml:space="preserve">um </w:t>
      </w:r>
      <w:r w:rsidRPr="00F05EF7">
        <w:rPr>
          <w:rFonts w:ascii="Times New Roman" w:eastAsia="Times New Roman" w:hAnsi="Times New Roman" w:cs="Times New Roman"/>
        </w:rPr>
        <w:t xml:space="preserve">máximo de 31,81% (2014) no período analisado. No tocante às operações de crédito, somente houve ocorrência no ano de 2016, no importe de 6,24%, enquanto as outras fontes </w:t>
      </w:r>
      <w:r w:rsidR="00D91CB9" w:rsidRPr="00F05EF7">
        <w:rPr>
          <w:rFonts w:ascii="Times New Roman" w:eastAsia="Times New Roman" w:hAnsi="Times New Roman" w:cs="Times New Roman"/>
        </w:rPr>
        <w:t xml:space="preserve">de recurso </w:t>
      </w:r>
      <w:r w:rsidRPr="00F05EF7">
        <w:rPr>
          <w:rFonts w:ascii="Times New Roman" w:eastAsia="Times New Roman" w:hAnsi="Times New Roman" w:cs="Times New Roman"/>
        </w:rPr>
        <w:t>representaram percentuais que variam de 1,33% a 5,18%.</w:t>
      </w:r>
    </w:p>
    <w:p w14:paraId="04C4017F" w14:textId="06002AE3" w:rsidR="00821527" w:rsidRDefault="00930D82" w:rsidP="00AD5592">
      <w:pPr>
        <w:widowControl w:val="0"/>
        <w:jc w:val="both"/>
        <w:rPr>
          <w:rFonts w:ascii="Times New Roman" w:eastAsia="Times New Roman" w:hAnsi="Times New Roman" w:cs="Times New Roman"/>
        </w:rPr>
      </w:pPr>
      <w:r>
        <w:rPr>
          <w:rFonts w:ascii="Times New Roman" w:eastAsia="Times New Roman" w:hAnsi="Times New Roman" w:cs="Times New Roman"/>
        </w:rPr>
        <w:tab/>
        <w:t>A T</w:t>
      </w:r>
      <w:r w:rsidR="008F69B7" w:rsidRPr="00F05EF7">
        <w:rPr>
          <w:rFonts w:ascii="Times New Roman" w:eastAsia="Times New Roman" w:hAnsi="Times New Roman" w:cs="Times New Roman"/>
        </w:rPr>
        <w:t>abela</w:t>
      </w:r>
      <w:r w:rsidR="0010504B" w:rsidRPr="00F05EF7">
        <w:rPr>
          <w:rFonts w:ascii="Times New Roman" w:eastAsia="Times New Roman" w:hAnsi="Times New Roman" w:cs="Times New Roman"/>
        </w:rPr>
        <w:t xml:space="preserve"> </w:t>
      </w:r>
      <w:r w:rsidR="00051C18" w:rsidRPr="00F05EF7">
        <w:rPr>
          <w:rFonts w:ascii="Times New Roman" w:eastAsia="Times New Roman" w:hAnsi="Times New Roman" w:cs="Times New Roman"/>
        </w:rPr>
        <w:t>3</w:t>
      </w:r>
      <w:r w:rsidR="0010504B" w:rsidRPr="00F05EF7">
        <w:rPr>
          <w:rFonts w:ascii="Times New Roman" w:eastAsia="Times New Roman" w:hAnsi="Times New Roman" w:cs="Times New Roman"/>
        </w:rPr>
        <w:t xml:space="preserve"> </w:t>
      </w:r>
      <w:r w:rsidR="008F69B7" w:rsidRPr="00F05EF7">
        <w:rPr>
          <w:rFonts w:ascii="Times New Roman" w:eastAsia="Times New Roman" w:hAnsi="Times New Roman" w:cs="Times New Roman"/>
        </w:rPr>
        <w:t>mostra</w:t>
      </w:r>
      <w:r w:rsidR="0010504B" w:rsidRPr="00F05EF7">
        <w:rPr>
          <w:rFonts w:ascii="Times New Roman" w:eastAsia="Times New Roman" w:hAnsi="Times New Roman" w:cs="Times New Roman"/>
        </w:rPr>
        <w:t xml:space="preserve"> as fontes de recurso utilizadas para abertura de créditos adicionais </w:t>
      </w:r>
      <w:r w:rsidR="00C81EC9" w:rsidRPr="00F05EF7">
        <w:rPr>
          <w:rFonts w:ascii="Times New Roman" w:eastAsia="Times New Roman" w:hAnsi="Times New Roman" w:cs="Times New Roman"/>
        </w:rPr>
        <w:t xml:space="preserve">de Dona Francisca, em </w:t>
      </w:r>
      <w:r w:rsidR="008F69B7" w:rsidRPr="00F05EF7">
        <w:rPr>
          <w:rFonts w:ascii="Times New Roman" w:eastAsia="Times New Roman" w:hAnsi="Times New Roman" w:cs="Times New Roman"/>
        </w:rPr>
        <w:t>percentual</w:t>
      </w:r>
      <w:r w:rsidR="00C81EC9" w:rsidRPr="00F05EF7">
        <w:rPr>
          <w:rFonts w:ascii="Times New Roman" w:eastAsia="Times New Roman" w:hAnsi="Times New Roman" w:cs="Times New Roman"/>
        </w:rPr>
        <w:t>, no período de 2014 a 2018.</w:t>
      </w:r>
    </w:p>
    <w:p w14:paraId="460FED47" w14:textId="77777777" w:rsidR="00F9587A" w:rsidRPr="00F05EF7" w:rsidRDefault="00F9587A" w:rsidP="00AD5592">
      <w:pPr>
        <w:widowControl w:val="0"/>
        <w:jc w:val="both"/>
        <w:rPr>
          <w:rFonts w:ascii="Times New Roman" w:eastAsia="Times New Roman" w:hAnsi="Times New Roman" w:cs="Times New Roman"/>
        </w:rPr>
      </w:pPr>
    </w:p>
    <w:p w14:paraId="72A01523" w14:textId="18C5FD2B"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051C18" w:rsidRPr="00AF0520">
        <w:rPr>
          <w:rFonts w:ascii="Times New Roman" w:eastAsia="Times New Roman" w:hAnsi="Times New Roman" w:cs="Times New Roman"/>
          <w:b/>
          <w:bCs/>
        </w:rPr>
        <w:t>3</w:t>
      </w:r>
      <w:r w:rsidR="00FC5C99" w:rsidRPr="00AF0520">
        <w:rPr>
          <w:rFonts w:ascii="Times New Roman" w:eastAsia="Times New Roman" w:hAnsi="Times New Roman" w:cs="Times New Roman"/>
          <w:b/>
          <w:bCs/>
        </w:rPr>
        <w:t xml:space="preserve"> </w:t>
      </w:r>
      <w:r w:rsidRPr="00AF0520">
        <w:rPr>
          <w:rFonts w:ascii="Times New Roman" w:eastAsia="Times New Roman" w:hAnsi="Times New Roman" w:cs="Times New Roman"/>
          <w:b/>
          <w:bCs/>
        </w:rPr>
        <w:t>– Fontes dos créditos adicionais de Dona Francisca, em percentual</w:t>
      </w:r>
    </w:p>
    <w:tbl>
      <w:tblPr>
        <w:tblStyle w:val="af5"/>
        <w:tblW w:w="5000" w:type="pct"/>
        <w:jc w:val="center"/>
        <w:tblInd w:w="0" w:type="dxa"/>
        <w:tblLook w:val="0400" w:firstRow="0" w:lastRow="0" w:firstColumn="0" w:lastColumn="0" w:noHBand="0" w:noVBand="1"/>
      </w:tblPr>
      <w:tblGrid>
        <w:gridCol w:w="1073"/>
        <w:gridCol w:w="1176"/>
        <w:gridCol w:w="1604"/>
        <w:gridCol w:w="1312"/>
        <w:gridCol w:w="1343"/>
        <w:gridCol w:w="1279"/>
        <w:gridCol w:w="1284"/>
      </w:tblGrid>
      <w:tr w:rsidR="00F05EF7" w:rsidRPr="00F05EF7" w14:paraId="3F1A203F" w14:textId="77777777" w:rsidTr="00930D82">
        <w:trPr>
          <w:trHeight w:val="540"/>
          <w:jc w:val="center"/>
        </w:trPr>
        <w:tc>
          <w:tcPr>
            <w:tcW w:w="592" w:type="pct"/>
            <w:tcBorders>
              <w:top w:val="single" w:sz="8" w:space="0" w:color="000000"/>
              <w:left w:val="nil"/>
              <w:bottom w:val="single" w:sz="8" w:space="0" w:color="000000"/>
              <w:right w:val="single" w:sz="8" w:space="0" w:color="000000"/>
            </w:tcBorders>
            <w:shd w:val="clear" w:color="auto" w:fill="auto"/>
            <w:vAlign w:val="center"/>
          </w:tcPr>
          <w:p w14:paraId="0257DF2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64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194D6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Superávit financeiro</w:t>
            </w:r>
          </w:p>
        </w:tc>
        <w:tc>
          <w:tcPr>
            <w:tcW w:w="8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BB985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Excesso de arrecadação</w:t>
            </w:r>
          </w:p>
        </w:tc>
        <w:tc>
          <w:tcPr>
            <w:tcW w:w="7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D0920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Anulação de dotação</w:t>
            </w:r>
          </w:p>
        </w:tc>
        <w:tc>
          <w:tcPr>
            <w:tcW w:w="74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7FD211"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Operação de crédito</w:t>
            </w:r>
          </w:p>
        </w:tc>
        <w:tc>
          <w:tcPr>
            <w:tcW w:w="705" w:type="pct"/>
            <w:tcBorders>
              <w:top w:val="single" w:sz="8" w:space="0" w:color="000000"/>
              <w:left w:val="nil"/>
              <w:right w:val="nil"/>
            </w:tcBorders>
            <w:shd w:val="clear" w:color="auto" w:fill="auto"/>
            <w:vAlign w:val="center"/>
          </w:tcPr>
          <w:p w14:paraId="56AAABB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708" w:type="pct"/>
            <w:tcBorders>
              <w:top w:val="single" w:sz="8" w:space="0" w:color="000000"/>
              <w:left w:val="single" w:sz="8" w:space="0" w:color="000000"/>
              <w:bottom w:val="nil"/>
              <w:right w:val="nil"/>
            </w:tcBorders>
            <w:shd w:val="clear" w:color="auto" w:fill="auto"/>
            <w:vAlign w:val="center"/>
          </w:tcPr>
          <w:p w14:paraId="6C8B827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1B979EB4" w14:textId="77777777" w:rsidTr="00930D82">
        <w:trPr>
          <w:trHeight w:val="260"/>
          <w:jc w:val="center"/>
        </w:trPr>
        <w:tc>
          <w:tcPr>
            <w:tcW w:w="592" w:type="pct"/>
            <w:tcBorders>
              <w:top w:val="nil"/>
              <w:left w:val="nil"/>
              <w:bottom w:val="single" w:sz="8" w:space="0" w:color="000000"/>
              <w:right w:val="single" w:sz="8" w:space="0" w:color="000000"/>
            </w:tcBorders>
            <w:shd w:val="clear" w:color="auto" w:fill="auto"/>
            <w:vAlign w:val="center"/>
          </w:tcPr>
          <w:p w14:paraId="6853F01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648" w:type="pct"/>
            <w:tcBorders>
              <w:top w:val="nil"/>
              <w:left w:val="nil"/>
              <w:bottom w:val="single" w:sz="8" w:space="0" w:color="000000"/>
              <w:right w:val="single" w:sz="8" w:space="0" w:color="000000"/>
            </w:tcBorders>
            <w:shd w:val="clear" w:color="auto" w:fill="auto"/>
            <w:vAlign w:val="center"/>
          </w:tcPr>
          <w:p w14:paraId="772FA9E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13,57%</w:t>
            </w:r>
          </w:p>
        </w:tc>
        <w:tc>
          <w:tcPr>
            <w:tcW w:w="884" w:type="pct"/>
            <w:tcBorders>
              <w:top w:val="nil"/>
              <w:left w:val="nil"/>
              <w:bottom w:val="single" w:sz="8" w:space="0" w:color="000000"/>
              <w:right w:val="single" w:sz="8" w:space="0" w:color="000000"/>
            </w:tcBorders>
            <w:shd w:val="clear" w:color="auto" w:fill="auto"/>
            <w:vAlign w:val="center"/>
          </w:tcPr>
          <w:p w14:paraId="7A96F30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11,17%</w:t>
            </w:r>
          </w:p>
        </w:tc>
        <w:tc>
          <w:tcPr>
            <w:tcW w:w="723" w:type="pct"/>
            <w:tcBorders>
              <w:top w:val="nil"/>
              <w:left w:val="nil"/>
              <w:bottom w:val="single" w:sz="8" w:space="0" w:color="000000"/>
              <w:right w:val="single" w:sz="8" w:space="0" w:color="000000"/>
            </w:tcBorders>
            <w:shd w:val="clear" w:color="auto" w:fill="auto"/>
            <w:vAlign w:val="center"/>
          </w:tcPr>
          <w:p w14:paraId="0BF6AFE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75,26%</w:t>
            </w:r>
          </w:p>
        </w:tc>
        <w:tc>
          <w:tcPr>
            <w:tcW w:w="740" w:type="pct"/>
            <w:tcBorders>
              <w:top w:val="nil"/>
              <w:left w:val="nil"/>
              <w:bottom w:val="single" w:sz="8" w:space="0" w:color="000000"/>
              <w:right w:val="nil"/>
            </w:tcBorders>
            <w:shd w:val="clear" w:color="auto" w:fill="auto"/>
            <w:vAlign w:val="center"/>
          </w:tcPr>
          <w:p w14:paraId="11C7391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4F63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08" w:type="pct"/>
            <w:tcBorders>
              <w:top w:val="single" w:sz="4" w:space="0" w:color="000000"/>
              <w:left w:val="nil"/>
              <w:bottom w:val="single" w:sz="4" w:space="0" w:color="000000"/>
              <w:right w:val="nil"/>
            </w:tcBorders>
            <w:shd w:val="clear" w:color="auto" w:fill="auto"/>
            <w:vAlign w:val="center"/>
          </w:tcPr>
          <w:p w14:paraId="44C6D9A0"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62BD15DE" w14:textId="77777777" w:rsidTr="00930D82">
        <w:trPr>
          <w:trHeight w:val="260"/>
          <w:jc w:val="center"/>
        </w:trPr>
        <w:tc>
          <w:tcPr>
            <w:tcW w:w="592" w:type="pct"/>
            <w:tcBorders>
              <w:top w:val="nil"/>
              <w:left w:val="nil"/>
              <w:bottom w:val="single" w:sz="8" w:space="0" w:color="000000"/>
              <w:right w:val="single" w:sz="8" w:space="0" w:color="000000"/>
            </w:tcBorders>
            <w:shd w:val="clear" w:color="auto" w:fill="auto"/>
            <w:vAlign w:val="center"/>
          </w:tcPr>
          <w:p w14:paraId="22B00F1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648" w:type="pct"/>
            <w:tcBorders>
              <w:top w:val="nil"/>
              <w:left w:val="nil"/>
              <w:bottom w:val="single" w:sz="8" w:space="0" w:color="000000"/>
              <w:right w:val="single" w:sz="8" w:space="0" w:color="000000"/>
            </w:tcBorders>
            <w:shd w:val="clear" w:color="auto" w:fill="auto"/>
            <w:vAlign w:val="center"/>
          </w:tcPr>
          <w:p w14:paraId="5740E6C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11,07%</w:t>
            </w:r>
          </w:p>
        </w:tc>
        <w:tc>
          <w:tcPr>
            <w:tcW w:w="884" w:type="pct"/>
            <w:tcBorders>
              <w:top w:val="nil"/>
              <w:left w:val="nil"/>
              <w:bottom w:val="single" w:sz="8" w:space="0" w:color="000000"/>
              <w:right w:val="single" w:sz="8" w:space="0" w:color="000000"/>
            </w:tcBorders>
            <w:shd w:val="clear" w:color="auto" w:fill="auto"/>
            <w:vAlign w:val="center"/>
          </w:tcPr>
          <w:p w14:paraId="6FE294A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12,32%</w:t>
            </w:r>
          </w:p>
        </w:tc>
        <w:tc>
          <w:tcPr>
            <w:tcW w:w="723" w:type="pct"/>
            <w:tcBorders>
              <w:top w:val="nil"/>
              <w:left w:val="nil"/>
              <w:bottom w:val="single" w:sz="8" w:space="0" w:color="000000"/>
              <w:right w:val="single" w:sz="8" w:space="0" w:color="000000"/>
            </w:tcBorders>
            <w:shd w:val="clear" w:color="auto" w:fill="auto"/>
            <w:vAlign w:val="center"/>
          </w:tcPr>
          <w:p w14:paraId="626D5FC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73,75%</w:t>
            </w:r>
          </w:p>
        </w:tc>
        <w:tc>
          <w:tcPr>
            <w:tcW w:w="740" w:type="pct"/>
            <w:tcBorders>
              <w:top w:val="nil"/>
              <w:left w:val="nil"/>
              <w:bottom w:val="single" w:sz="8" w:space="0" w:color="000000"/>
              <w:right w:val="nil"/>
            </w:tcBorders>
            <w:shd w:val="clear" w:color="auto" w:fill="auto"/>
            <w:vAlign w:val="center"/>
          </w:tcPr>
          <w:p w14:paraId="1900F7A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05" w:type="pct"/>
            <w:tcBorders>
              <w:top w:val="nil"/>
              <w:left w:val="single" w:sz="4" w:space="0" w:color="000000"/>
              <w:bottom w:val="single" w:sz="4" w:space="0" w:color="000000"/>
              <w:right w:val="single" w:sz="4" w:space="0" w:color="000000"/>
            </w:tcBorders>
            <w:shd w:val="clear" w:color="auto" w:fill="auto"/>
            <w:vAlign w:val="center"/>
          </w:tcPr>
          <w:p w14:paraId="552922F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2,87%</w:t>
            </w:r>
          </w:p>
        </w:tc>
        <w:tc>
          <w:tcPr>
            <w:tcW w:w="708" w:type="pct"/>
            <w:tcBorders>
              <w:top w:val="nil"/>
              <w:left w:val="nil"/>
              <w:bottom w:val="single" w:sz="4" w:space="0" w:color="000000"/>
              <w:right w:val="nil"/>
            </w:tcBorders>
            <w:shd w:val="clear" w:color="auto" w:fill="auto"/>
            <w:vAlign w:val="center"/>
          </w:tcPr>
          <w:p w14:paraId="262E8BF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2ACBCE05" w14:textId="77777777" w:rsidTr="00930D82">
        <w:trPr>
          <w:trHeight w:val="260"/>
          <w:jc w:val="center"/>
        </w:trPr>
        <w:tc>
          <w:tcPr>
            <w:tcW w:w="592" w:type="pct"/>
            <w:tcBorders>
              <w:top w:val="nil"/>
              <w:left w:val="nil"/>
              <w:bottom w:val="single" w:sz="8" w:space="0" w:color="000000"/>
              <w:right w:val="single" w:sz="8" w:space="0" w:color="000000"/>
            </w:tcBorders>
            <w:shd w:val="clear" w:color="auto" w:fill="auto"/>
            <w:vAlign w:val="center"/>
          </w:tcPr>
          <w:p w14:paraId="0AFCBEE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648" w:type="pct"/>
            <w:tcBorders>
              <w:top w:val="nil"/>
              <w:left w:val="nil"/>
              <w:bottom w:val="single" w:sz="8" w:space="0" w:color="000000"/>
              <w:right w:val="single" w:sz="8" w:space="0" w:color="000000"/>
            </w:tcBorders>
            <w:shd w:val="clear" w:color="auto" w:fill="auto"/>
            <w:vAlign w:val="center"/>
          </w:tcPr>
          <w:p w14:paraId="1D33F11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9,80%</w:t>
            </w:r>
          </w:p>
        </w:tc>
        <w:tc>
          <w:tcPr>
            <w:tcW w:w="884" w:type="pct"/>
            <w:tcBorders>
              <w:top w:val="nil"/>
              <w:left w:val="nil"/>
              <w:bottom w:val="single" w:sz="8" w:space="0" w:color="000000"/>
              <w:right w:val="single" w:sz="8" w:space="0" w:color="000000"/>
            </w:tcBorders>
            <w:shd w:val="clear" w:color="auto" w:fill="auto"/>
            <w:vAlign w:val="center"/>
          </w:tcPr>
          <w:p w14:paraId="6CB5DFE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26,65%</w:t>
            </w:r>
          </w:p>
        </w:tc>
        <w:tc>
          <w:tcPr>
            <w:tcW w:w="723" w:type="pct"/>
            <w:tcBorders>
              <w:top w:val="nil"/>
              <w:left w:val="nil"/>
              <w:bottom w:val="single" w:sz="8" w:space="0" w:color="000000"/>
              <w:right w:val="single" w:sz="8" w:space="0" w:color="000000"/>
            </w:tcBorders>
            <w:shd w:val="clear" w:color="auto" w:fill="auto"/>
            <w:vAlign w:val="center"/>
          </w:tcPr>
          <w:p w14:paraId="185B1F6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63,37%</w:t>
            </w:r>
          </w:p>
        </w:tc>
        <w:tc>
          <w:tcPr>
            <w:tcW w:w="740" w:type="pct"/>
            <w:tcBorders>
              <w:top w:val="nil"/>
              <w:left w:val="nil"/>
              <w:bottom w:val="single" w:sz="8" w:space="0" w:color="000000"/>
              <w:right w:val="nil"/>
            </w:tcBorders>
            <w:shd w:val="clear" w:color="auto" w:fill="auto"/>
            <w:vAlign w:val="center"/>
          </w:tcPr>
          <w:p w14:paraId="7AD133C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05" w:type="pct"/>
            <w:tcBorders>
              <w:top w:val="nil"/>
              <w:left w:val="single" w:sz="4" w:space="0" w:color="000000"/>
              <w:bottom w:val="single" w:sz="4" w:space="0" w:color="000000"/>
              <w:right w:val="single" w:sz="4" w:space="0" w:color="000000"/>
            </w:tcBorders>
            <w:shd w:val="clear" w:color="auto" w:fill="auto"/>
            <w:vAlign w:val="center"/>
          </w:tcPr>
          <w:p w14:paraId="46BCF07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0,17%</w:t>
            </w:r>
          </w:p>
        </w:tc>
        <w:tc>
          <w:tcPr>
            <w:tcW w:w="708" w:type="pct"/>
            <w:tcBorders>
              <w:top w:val="nil"/>
              <w:left w:val="nil"/>
              <w:bottom w:val="single" w:sz="4" w:space="0" w:color="000000"/>
              <w:right w:val="nil"/>
            </w:tcBorders>
            <w:shd w:val="clear" w:color="auto" w:fill="auto"/>
            <w:vAlign w:val="center"/>
          </w:tcPr>
          <w:p w14:paraId="59624A5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6A20B940" w14:textId="77777777" w:rsidTr="00930D82">
        <w:trPr>
          <w:trHeight w:val="260"/>
          <w:jc w:val="center"/>
        </w:trPr>
        <w:tc>
          <w:tcPr>
            <w:tcW w:w="592" w:type="pct"/>
            <w:tcBorders>
              <w:top w:val="nil"/>
              <w:left w:val="nil"/>
              <w:bottom w:val="single" w:sz="8" w:space="0" w:color="000000"/>
              <w:right w:val="single" w:sz="8" w:space="0" w:color="000000"/>
            </w:tcBorders>
            <w:shd w:val="clear" w:color="auto" w:fill="auto"/>
            <w:vAlign w:val="center"/>
          </w:tcPr>
          <w:p w14:paraId="67AB4F6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648" w:type="pct"/>
            <w:tcBorders>
              <w:top w:val="nil"/>
              <w:left w:val="nil"/>
              <w:bottom w:val="single" w:sz="8" w:space="0" w:color="000000"/>
              <w:right w:val="single" w:sz="8" w:space="0" w:color="000000"/>
            </w:tcBorders>
            <w:shd w:val="clear" w:color="auto" w:fill="auto"/>
            <w:vAlign w:val="center"/>
          </w:tcPr>
          <w:p w14:paraId="3213495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5,88%</w:t>
            </w:r>
          </w:p>
        </w:tc>
        <w:tc>
          <w:tcPr>
            <w:tcW w:w="884" w:type="pct"/>
            <w:tcBorders>
              <w:top w:val="nil"/>
              <w:left w:val="nil"/>
              <w:bottom w:val="single" w:sz="8" w:space="0" w:color="000000"/>
              <w:right w:val="single" w:sz="8" w:space="0" w:color="000000"/>
            </w:tcBorders>
            <w:shd w:val="clear" w:color="auto" w:fill="auto"/>
            <w:vAlign w:val="center"/>
          </w:tcPr>
          <w:p w14:paraId="28F062C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7,17%</w:t>
            </w:r>
          </w:p>
        </w:tc>
        <w:tc>
          <w:tcPr>
            <w:tcW w:w="723" w:type="pct"/>
            <w:tcBorders>
              <w:top w:val="nil"/>
              <w:left w:val="nil"/>
              <w:bottom w:val="single" w:sz="8" w:space="0" w:color="000000"/>
              <w:right w:val="single" w:sz="8" w:space="0" w:color="000000"/>
            </w:tcBorders>
            <w:shd w:val="clear" w:color="auto" w:fill="auto"/>
            <w:vAlign w:val="center"/>
          </w:tcPr>
          <w:p w14:paraId="290AF2B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86,35%</w:t>
            </w:r>
          </w:p>
        </w:tc>
        <w:tc>
          <w:tcPr>
            <w:tcW w:w="740" w:type="pct"/>
            <w:tcBorders>
              <w:top w:val="nil"/>
              <w:left w:val="nil"/>
              <w:bottom w:val="single" w:sz="8" w:space="0" w:color="000000"/>
              <w:right w:val="nil"/>
            </w:tcBorders>
            <w:shd w:val="clear" w:color="auto" w:fill="auto"/>
            <w:vAlign w:val="center"/>
          </w:tcPr>
          <w:p w14:paraId="240D4E3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05" w:type="pct"/>
            <w:tcBorders>
              <w:top w:val="nil"/>
              <w:left w:val="single" w:sz="4" w:space="0" w:color="000000"/>
              <w:bottom w:val="single" w:sz="4" w:space="0" w:color="000000"/>
              <w:right w:val="single" w:sz="4" w:space="0" w:color="000000"/>
            </w:tcBorders>
            <w:shd w:val="clear" w:color="auto" w:fill="auto"/>
            <w:vAlign w:val="center"/>
          </w:tcPr>
          <w:p w14:paraId="2D7D51C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0,60%</w:t>
            </w:r>
          </w:p>
        </w:tc>
        <w:tc>
          <w:tcPr>
            <w:tcW w:w="708" w:type="pct"/>
            <w:tcBorders>
              <w:top w:val="nil"/>
              <w:left w:val="nil"/>
              <w:bottom w:val="single" w:sz="4" w:space="0" w:color="000000"/>
              <w:right w:val="nil"/>
            </w:tcBorders>
            <w:shd w:val="clear" w:color="auto" w:fill="auto"/>
            <w:vAlign w:val="center"/>
          </w:tcPr>
          <w:p w14:paraId="3BB6AD3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59099DAF" w14:textId="77777777" w:rsidTr="00930D82">
        <w:trPr>
          <w:trHeight w:val="260"/>
          <w:jc w:val="center"/>
        </w:trPr>
        <w:tc>
          <w:tcPr>
            <w:tcW w:w="592" w:type="pct"/>
            <w:tcBorders>
              <w:top w:val="nil"/>
              <w:left w:val="nil"/>
              <w:bottom w:val="single" w:sz="8" w:space="0" w:color="000000"/>
              <w:right w:val="single" w:sz="8" w:space="0" w:color="000000"/>
            </w:tcBorders>
            <w:shd w:val="clear" w:color="auto" w:fill="auto"/>
            <w:vAlign w:val="center"/>
          </w:tcPr>
          <w:p w14:paraId="046FC00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648" w:type="pct"/>
            <w:tcBorders>
              <w:top w:val="nil"/>
              <w:left w:val="nil"/>
              <w:bottom w:val="single" w:sz="8" w:space="0" w:color="000000"/>
              <w:right w:val="single" w:sz="8" w:space="0" w:color="000000"/>
            </w:tcBorders>
            <w:shd w:val="clear" w:color="auto" w:fill="auto"/>
            <w:vAlign w:val="center"/>
          </w:tcPr>
          <w:p w14:paraId="4E26254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3,99%</w:t>
            </w:r>
          </w:p>
        </w:tc>
        <w:tc>
          <w:tcPr>
            <w:tcW w:w="884" w:type="pct"/>
            <w:tcBorders>
              <w:top w:val="nil"/>
              <w:left w:val="nil"/>
              <w:bottom w:val="single" w:sz="8" w:space="0" w:color="000000"/>
              <w:right w:val="single" w:sz="8" w:space="0" w:color="000000"/>
            </w:tcBorders>
            <w:shd w:val="clear" w:color="auto" w:fill="auto"/>
            <w:vAlign w:val="center"/>
          </w:tcPr>
          <w:p w14:paraId="28710E1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20,70%</w:t>
            </w:r>
          </w:p>
        </w:tc>
        <w:tc>
          <w:tcPr>
            <w:tcW w:w="723" w:type="pct"/>
            <w:tcBorders>
              <w:top w:val="nil"/>
              <w:left w:val="nil"/>
              <w:bottom w:val="single" w:sz="8" w:space="0" w:color="000000"/>
              <w:right w:val="single" w:sz="8" w:space="0" w:color="000000"/>
            </w:tcBorders>
            <w:shd w:val="clear" w:color="auto" w:fill="auto"/>
            <w:vAlign w:val="center"/>
          </w:tcPr>
          <w:p w14:paraId="1436D83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75,31%</w:t>
            </w:r>
          </w:p>
        </w:tc>
        <w:tc>
          <w:tcPr>
            <w:tcW w:w="740" w:type="pct"/>
            <w:tcBorders>
              <w:top w:val="nil"/>
              <w:left w:val="nil"/>
              <w:bottom w:val="single" w:sz="8" w:space="0" w:color="000000"/>
              <w:right w:val="nil"/>
            </w:tcBorders>
            <w:shd w:val="clear" w:color="auto" w:fill="auto"/>
            <w:vAlign w:val="center"/>
          </w:tcPr>
          <w:p w14:paraId="17113E2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05" w:type="pct"/>
            <w:tcBorders>
              <w:top w:val="nil"/>
              <w:left w:val="single" w:sz="4" w:space="0" w:color="000000"/>
              <w:bottom w:val="single" w:sz="4" w:space="0" w:color="000000"/>
              <w:right w:val="single" w:sz="4" w:space="0" w:color="000000"/>
            </w:tcBorders>
            <w:shd w:val="clear" w:color="auto" w:fill="auto"/>
            <w:vAlign w:val="center"/>
          </w:tcPr>
          <w:p w14:paraId="0B8A09E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08" w:type="pct"/>
            <w:tcBorders>
              <w:top w:val="nil"/>
              <w:left w:val="nil"/>
              <w:bottom w:val="single" w:sz="4" w:space="0" w:color="000000"/>
              <w:right w:val="nil"/>
            </w:tcBorders>
            <w:shd w:val="clear" w:color="auto" w:fill="auto"/>
            <w:vAlign w:val="center"/>
          </w:tcPr>
          <w:p w14:paraId="49ABA5E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bl>
    <w:p w14:paraId="215B4244" w14:textId="450A01B2" w:rsidR="00F9587A" w:rsidRDefault="00F9587A"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lastRenderedPageBreak/>
        <w:t>Fonte: Elaborado pelos autores com base na pesquisa.</w:t>
      </w:r>
    </w:p>
    <w:p w14:paraId="2BEFDF15" w14:textId="77777777" w:rsidR="00F9587A" w:rsidRPr="00F9587A" w:rsidRDefault="00F9587A" w:rsidP="00AD5592">
      <w:pPr>
        <w:widowControl w:val="0"/>
        <w:pBdr>
          <w:top w:val="nil"/>
          <w:left w:val="nil"/>
          <w:bottom w:val="nil"/>
          <w:right w:val="nil"/>
          <w:between w:val="nil"/>
        </w:pBdr>
        <w:ind w:firstLine="709"/>
        <w:jc w:val="both"/>
        <w:rPr>
          <w:rFonts w:ascii="Times New Roman" w:eastAsia="Times New Roman" w:hAnsi="Times New Roman" w:cs="Times New Roman"/>
          <w:sz w:val="20"/>
          <w:szCs w:val="20"/>
        </w:rPr>
      </w:pPr>
    </w:p>
    <w:p w14:paraId="33248B65" w14:textId="270160EF"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Os dados da</w:t>
      </w:r>
      <w:r w:rsidR="00DC62B4">
        <w:rPr>
          <w:rFonts w:ascii="Times New Roman" w:eastAsia="Times New Roman" w:hAnsi="Times New Roman" w:cs="Times New Roman"/>
        </w:rPr>
        <w:t xml:space="preserve"> </w:t>
      </w:r>
      <w:r w:rsidR="00461179" w:rsidRPr="006026C8">
        <w:rPr>
          <w:rFonts w:ascii="Times New Roman" w:eastAsia="Times New Roman" w:hAnsi="Times New Roman" w:cs="Times New Roman"/>
        </w:rPr>
        <w:t>T</w:t>
      </w:r>
      <w:r w:rsidR="00DC62B4" w:rsidRPr="006026C8">
        <w:rPr>
          <w:rFonts w:ascii="Times New Roman" w:eastAsia="Times New Roman" w:hAnsi="Times New Roman" w:cs="Times New Roman"/>
        </w:rPr>
        <w:t>abela</w:t>
      </w:r>
      <w:r w:rsidRPr="006026C8">
        <w:rPr>
          <w:rFonts w:ascii="Times New Roman" w:eastAsia="Times New Roman" w:hAnsi="Times New Roman" w:cs="Times New Roman"/>
        </w:rPr>
        <w:t xml:space="preserve"> </w:t>
      </w:r>
      <w:r w:rsidR="00461179" w:rsidRPr="006026C8">
        <w:rPr>
          <w:rFonts w:ascii="Times New Roman" w:eastAsia="Times New Roman" w:hAnsi="Times New Roman" w:cs="Times New Roman"/>
        </w:rPr>
        <w:t>3</w:t>
      </w:r>
      <w:r w:rsidR="00461179">
        <w:rPr>
          <w:rFonts w:ascii="Times New Roman" w:eastAsia="Times New Roman" w:hAnsi="Times New Roman" w:cs="Times New Roman"/>
        </w:rPr>
        <w:t xml:space="preserve"> </w:t>
      </w:r>
      <w:r w:rsidR="00DC62B4">
        <w:rPr>
          <w:rFonts w:ascii="Times New Roman" w:eastAsia="Times New Roman" w:hAnsi="Times New Roman" w:cs="Times New Roman"/>
        </w:rPr>
        <w:t>permitem verificar</w:t>
      </w:r>
      <w:r w:rsidRPr="00F05EF7">
        <w:rPr>
          <w:rFonts w:ascii="Times New Roman" w:eastAsia="Times New Roman" w:hAnsi="Times New Roman" w:cs="Times New Roman"/>
        </w:rPr>
        <w:t xml:space="preserve"> que no município de Dona Francisca a principal fonte de recurso utilizada para a abertura dos créditos adicionais</w:t>
      </w:r>
      <w:r w:rsidR="00DC62B4">
        <w:rPr>
          <w:rFonts w:ascii="Times New Roman" w:eastAsia="Times New Roman" w:hAnsi="Times New Roman" w:cs="Times New Roman"/>
        </w:rPr>
        <w:t xml:space="preserve"> também</w:t>
      </w:r>
      <w:r w:rsidRPr="00F05EF7">
        <w:rPr>
          <w:rFonts w:ascii="Times New Roman" w:eastAsia="Times New Roman" w:hAnsi="Times New Roman" w:cs="Times New Roman"/>
        </w:rPr>
        <w:t xml:space="preserve"> é anulação de dotação. Essa fonte de recurso representou 75,26% dos créditos adicionais abertos em 2014, 73,75% em 2015, 63,37% em 2016, 86,35% em 2017 e 75,31% em 2018.</w:t>
      </w:r>
    </w:p>
    <w:p w14:paraId="1C048187" w14:textId="77777777"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Quanto às demais, observa-se que os valores movimentados que tiveram como fonte de recurso o excesso de arrecadação representaram no mínimo de 7,17% (2017) e no máximo 26,65% (2016) dos créditos adicionais abertos no período, enquanto o superávit financeiro representou um mínimo de 3,99% (2018) e um máximo de 13,57% (2014) no período. No tocante às operações de crédito, não houve ocorrência no período de 2014 a 2018, enquanto outras fontes representaram 2,87% em 2015, 0,17% em 2016 e 0,60% em 2017.</w:t>
      </w:r>
    </w:p>
    <w:p w14:paraId="73E9D7BB" w14:textId="19D35667" w:rsidR="00821527" w:rsidRDefault="00930D82" w:rsidP="00AD5592">
      <w:pPr>
        <w:widowControl w:val="0"/>
        <w:jc w:val="both"/>
        <w:rPr>
          <w:rFonts w:ascii="Times New Roman" w:eastAsia="Times New Roman" w:hAnsi="Times New Roman" w:cs="Times New Roman"/>
        </w:rPr>
      </w:pPr>
      <w:r>
        <w:rPr>
          <w:rFonts w:ascii="Times New Roman" w:eastAsia="Times New Roman" w:hAnsi="Times New Roman" w:cs="Times New Roman"/>
        </w:rPr>
        <w:tab/>
        <w:t>A T</w:t>
      </w:r>
      <w:r w:rsidR="008F69B7" w:rsidRPr="00F05EF7">
        <w:rPr>
          <w:rFonts w:ascii="Times New Roman" w:eastAsia="Times New Roman" w:hAnsi="Times New Roman" w:cs="Times New Roman"/>
        </w:rPr>
        <w:t xml:space="preserve">abela </w:t>
      </w:r>
      <w:r w:rsidR="00051C18" w:rsidRPr="00F05EF7">
        <w:rPr>
          <w:rFonts w:ascii="Times New Roman" w:eastAsia="Times New Roman" w:hAnsi="Times New Roman" w:cs="Times New Roman"/>
        </w:rPr>
        <w:t>4</w:t>
      </w:r>
      <w:r w:rsidR="0010504B" w:rsidRPr="00F05EF7">
        <w:rPr>
          <w:rFonts w:ascii="Times New Roman" w:eastAsia="Times New Roman" w:hAnsi="Times New Roman" w:cs="Times New Roman"/>
        </w:rPr>
        <w:t xml:space="preserve"> </w:t>
      </w:r>
      <w:r w:rsidR="00BD29C1">
        <w:rPr>
          <w:rFonts w:ascii="Times New Roman" w:eastAsia="Times New Roman" w:hAnsi="Times New Roman" w:cs="Times New Roman"/>
        </w:rPr>
        <w:t>traz</w:t>
      </w:r>
      <w:r w:rsidR="0010504B" w:rsidRPr="00F05EF7">
        <w:rPr>
          <w:rFonts w:ascii="Times New Roman" w:eastAsia="Times New Roman" w:hAnsi="Times New Roman" w:cs="Times New Roman"/>
        </w:rPr>
        <w:t xml:space="preserve"> as fontes de recurso </w:t>
      </w:r>
      <w:r w:rsidR="00B04F4C" w:rsidRPr="00F05EF7">
        <w:rPr>
          <w:rFonts w:ascii="Times New Roman" w:eastAsia="Times New Roman" w:hAnsi="Times New Roman" w:cs="Times New Roman"/>
        </w:rPr>
        <w:t>usadas</w:t>
      </w:r>
      <w:r w:rsidR="0010504B" w:rsidRPr="00F05EF7">
        <w:rPr>
          <w:rFonts w:ascii="Times New Roman" w:eastAsia="Times New Roman" w:hAnsi="Times New Roman" w:cs="Times New Roman"/>
        </w:rPr>
        <w:t xml:space="preserve"> para abertura de créditos adicionais em </w:t>
      </w:r>
      <w:r w:rsidR="008F69B7" w:rsidRPr="00F05EF7">
        <w:rPr>
          <w:rFonts w:ascii="Times New Roman" w:eastAsia="Times New Roman" w:hAnsi="Times New Roman" w:cs="Times New Roman"/>
        </w:rPr>
        <w:t>percentual</w:t>
      </w:r>
      <w:r w:rsidR="0010504B" w:rsidRPr="00F05EF7">
        <w:rPr>
          <w:rFonts w:ascii="Times New Roman" w:eastAsia="Times New Roman" w:hAnsi="Times New Roman" w:cs="Times New Roman"/>
        </w:rPr>
        <w:t xml:space="preserve"> de Faxinal do Soturno</w:t>
      </w:r>
      <w:r w:rsidR="00B04F4C" w:rsidRPr="00F05EF7">
        <w:rPr>
          <w:rFonts w:ascii="Times New Roman" w:eastAsia="Times New Roman" w:hAnsi="Times New Roman" w:cs="Times New Roman"/>
        </w:rPr>
        <w:t>, no período 2014-2018</w:t>
      </w:r>
      <w:r w:rsidR="0010504B" w:rsidRPr="00F05EF7">
        <w:rPr>
          <w:rFonts w:ascii="Times New Roman" w:eastAsia="Times New Roman" w:hAnsi="Times New Roman" w:cs="Times New Roman"/>
        </w:rPr>
        <w:t>.</w:t>
      </w:r>
    </w:p>
    <w:p w14:paraId="4829029C" w14:textId="77777777" w:rsidR="00F9587A" w:rsidRPr="00F05EF7" w:rsidRDefault="00F9587A" w:rsidP="00AD5592">
      <w:pPr>
        <w:widowControl w:val="0"/>
        <w:jc w:val="both"/>
        <w:rPr>
          <w:rFonts w:ascii="Times New Roman" w:eastAsia="Times New Roman" w:hAnsi="Times New Roman" w:cs="Times New Roman"/>
        </w:rPr>
      </w:pPr>
    </w:p>
    <w:p w14:paraId="56903B74" w14:textId="1C70DA0E"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051C18" w:rsidRPr="00AF0520">
        <w:rPr>
          <w:rFonts w:ascii="Times New Roman" w:eastAsia="Times New Roman" w:hAnsi="Times New Roman" w:cs="Times New Roman"/>
          <w:b/>
          <w:bCs/>
        </w:rPr>
        <w:t>4</w:t>
      </w:r>
      <w:r w:rsidR="00D92C31" w:rsidRPr="00AF0520">
        <w:rPr>
          <w:rFonts w:ascii="Times New Roman" w:eastAsia="Times New Roman" w:hAnsi="Times New Roman" w:cs="Times New Roman"/>
          <w:b/>
          <w:bCs/>
        </w:rPr>
        <w:t xml:space="preserve"> </w:t>
      </w:r>
      <w:r w:rsidRPr="00AF0520">
        <w:rPr>
          <w:rFonts w:ascii="Times New Roman" w:eastAsia="Times New Roman" w:hAnsi="Times New Roman" w:cs="Times New Roman"/>
          <w:b/>
          <w:bCs/>
        </w:rPr>
        <w:t>– Fontes dos créditos adicionais de Faxinal do Soturno, em percentual</w:t>
      </w:r>
    </w:p>
    <w:tbl>
      <w:tblPr>
        <w:tblStyle w:val="af7"/>
        <w:tblW w:w="5000" w:type="pct"/>
        <w:jc w:val="center"/>
        <w:tblInd w:w="0" w:type="dxa"/>
        <w:tblLook w:val="0400" w:firstRow="0" w:lastRow="0" w:firstColumn="0" w:lastColumn="0" w:noHBand="0" w:noVBand="1"/>
      </w:tblPr>
      <w:tblGrid>
        <w:gridCol w:w="1125"/>
        <w:gridCol w:w="1335"/>
        <w:gridCol w:w="1426"/>
        <w:gridCol w:w="1330"/>
        <w:gridCol w:w="1355"/>
        <w:gridCol w:w="1263"/>
        <w:gridCol w:w="1237"/>
      </w:tblGrid>
      <w:tr w:rsidR="00F05EF7" w:rsidRPr="00F05EF7" w14:paraId="060FE445" w14:textId="77777777" w:rsidTr="00930D82">
        <w:trPr>
          <w:trHeight w:val="240"/>
          <w:jc w:val="center"/>
        </w:trPr>
        <w:tc>
          <w:tcPr>
            <w:tcW w:w="620" w:type="pct"/>
            <w:vMerge w:val="restart"/>
            <w:tcBorders>
              <w:top w:val="single" w:sz="8" w:space="0" w:color="000000"/>
              <w:left w:val="nil"/>
              <w:bottom w:val="single" w:sz="8" w:space="0" w:color="000000"/>
              <w:right w:val="single" w:sz="8" w:space="0" w:color="000000"/>
            </w:tcBorders>
            <w:shd w:val="clear" w:color="auto" w:fill="auto"/>
            <w:vAlign w:val="center"/>
          </w:tcPr>
          <w:p w14:paraId="7645A54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73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8E2BAAF" w14:textId="77777777" w:rsidR="00821527" w:rsidRPr="00F05EF7" w:rsidRDefault="0010504B" w:rsidP="00AD5592">
            <w:pPr>
              <w:jc w:val="center"/>
              <w:rPr>
                <w:rFonts w:ascii="Times New Roman" w:eastAsia="Times New Roman" w:hAnsi="Times New Roman" w:cs="Times New Roman"/>
                <w:b/>
                <w:sz w:val="18"/>
                <w:szCs w:val="18"/>
              </w:rPr>
            </w:pPr>
            <w:r w:rsidRPr="00F05EF7">
              <w:rPr>
                <w:rFonts w:ascii="Times New Roman" w:eastAsia="Times New Roman" w:hAnsi="Times New Roman" w:cs="Times New Roman"/>
                <w:b/>
                <w:sz w:val="18"/>
                <w:szCs w:val="18"/>
              </w:rPr>
              <w:t>Superávit financeiro</w:t>
            </w:r>
          </w:p>
        </w:tc>
        <w:tc>
          <w:tcPr>
            <w:tcW w:w="78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20AB68" w14:textId="77777777" w:rsidR="00821527" w:rsidRPr="00F05EF7" w:rsidRDefault="0010504B" w:rsidP="00AD5592">
            <w:pPr>
              <w:jc w:val="center"/>
              <w:rPr>
                <w:rFonts w:ascii="Times New Roman" w:eastAsia="Times New Roman" w:hAnsi="Times New Roman" w:cs="Times New Roman"/>
                <w:b/>
                <w:sz w:val="18"/>
                <w:szCs w:val="18"/>
              </w:rPr>
            </w:pPr>
            <w:r w:rsidRPr="00F05EF7">
              <w:rPr>
                <w:rFonts w:ascii="Times New Roman" w:eastAsia="Times New Roman" w:hAnsi="Times New Roman" w:cs="Times New Roman"/>
                <w:b/>
                <w:sz w:val="18"/>
                <w:szCs w:val="18"/>
              </w:rPr>
              <w:t>Excesso de arrecadação</w:t>
            </w:r>
          </w:p>
        </w:tc>
        <w:tc>
          <w:tcPr>
            <w:tcW w:w="7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95C9AD5" w14:textId="77777777" w:rsidR="00821527" w:rsidRPr="00F05EF7" w:rsidRDefault="0010504B" w:rsidP="00AD5592">
            <w:pPr>
              <w:jc w:val="center"/>
              <w:rPr>
                <w:rFonts w:ascii="Times New Roman" w:eastAsia="Times New Roman" w:hAnsi="Times New Roman" w:cs="Times New Roman"/>
                <w:b/>
                <w:sz w:val="18"/>
                <w:szCs w:val="18"/>
              </w:rPr>
            </w:pPr>
            <w:r w:rsidRPr="00F05EF7">
              <w:rPr>
                <w:rFonts w:ascii="Times New Roman" w:eastAsia="Times New Roman" w:hAnsi="Times New Roman" w:cs="Times New Roman"/>
                <w:b/>
                <w:sz w:val="18"/>
                <w:szCs w:val="18"/>
              </w:rPr>
              <w:t>Anulação de dotação</w:t>
            </w:r>
          </w:p>
        </w:tc>
        <w:tc>
          <w:tcPr>
            <w:tcW w:w="74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ACC65C" w14:textId="77777777" w:rsidR="00821527" w:rsidRPr="00F05EF7" w:rsidRDefault="0010504B" w:rsidP="00AD5592">
            <w:pPr>
              <w:jc w:val="center"/>
              <w:rPr>
                <w:rFonts w:ascii="Times New Roman" w:eastAsia="Times New Roman" w:hAnsi="Times New Roman" w:cs="Times New Roman"/>
                <w:b/>
                <w:sz w:val="18"/>
                <w:szCs w:val="18"/>
              </w:rPr>
            </w:pPr>
            <w:r w:rsidRPr="00F05EF7">
              <w:rPr>
                <w:rFonts w:ascii="Times New Roman" w:eastAsia="Times New Roman" w:hAnsi="Times New Roman" w:cs="Times New Roman"/>
                <w:b/>
                <w:sz w:val="18"/>
                <w:szCs w:val="18"/>
              </w:rPr>
              <w:t xml:space="preserve">Operação de crédito </w:t>
            </w:r>
          </w:p>
        </w:tc>
        <w:tc>
          <w:tcPr>
            <w:tcW w:w="696" w:type="pct"/>
            <w:vMerge w:val="restart"/>
            <w:tcBorders>
              <w:top w:val="single" w:sz="8" w:space="0" w:color="000000"/>
              <w:left w:val="single" w:sz="8" w:space="0" w:color="000000"/>
              <w:bottom w:val="single" w:sz="8" w:space="0" w:color="000000"/>
              <w:right w:val="nil"/>
            </w:tcBorders>
            <w:shd w:val="clear" w:color="auto" w:fill="auto"/>
            <w:vAlign w:val="center"/>
          </w:tcPr>
          <w:p w14:paraId="7F4256E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682" w:type="pct"/>
            <w:vMerge w:val="restart"/>
            <w:tcBorders>
              <w:top w:val="single" w:sz="8" w:space="0" w:color="000000"/>
              <w:left w:val="single" w:sz="8" w:space="0" w:color="000000"/>
              <w:bottom w:val="single" w:sz="8" w:space="0" w:color="000000"/>
              <w:right w:val="nil"/>
            </w:tcBorders>
            <w:shd w:val="clear" w:color="auto" w:fill="auto"/>
            <w:vAlign w:val="center"/>
          </w:tcPr>
          <w:p w14:paraId="2F0C4DC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6B28C236" w14:textId="77777777" w:rsidTr="00930D82">
        <w:trPr>
          <w:trHeight w:val="264"/>
          <w:jc w:val="center"/>
        </w:trPr>
        <w:tc>
          <w:tcPr>
            <w:tcW w:w="620" w:type="pct"/>
            <w:vMerge/>
            <w:tcBorders>
              <w:top w:val="single" w:sz="8" w:space="0" w:color="000000"/>
              <w:left w:val="nil"/>
              <w:bottom w:val="single" w:sz="8" w:space="0" w:color="000000"/>
              <w:right w:val="single" w:sz="8" w:space="0" w:color="000000"/>
            </w:tcBorders>
            <w:shd w:val="clear" w:color="auto" w:fill="auto"/>
            <w:vAlign w:val="center"/>
          </w:tcPr>
          <w:p w14:paraId="2AB4E7E9"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319C00"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3A9B57"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6655D1"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4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F6D41F"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96" w:type="pct"/>
            <w:vMerge/>
            <w:tcBorders>
              <w:top w:val="single" w:sz="8" w:space="0" w:color="000000"/>
              <w:left w:val="single" w:sz="8" w:space="0" w:color="000000"/>
              <w:bottom w:val="single" w:sz="8" w:space="0" w:color="000000"/>
              <w:right w:val="nil"/>
            </w:tcBorders>
            <w:shd w:val="clear" w:color="auto" w:fill="auto"/>
            <w:vAlign w:val="center"/>
          </w:tcPr>
          <w:p w14:paraId="7E346EA4"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82" w:type="pct"/>
            <w:vMerge/>
            <w:tcBorders>
              <w:top w:val="single" w:sz="8" w:space="0" w:color="000000"/>
              <w:left w:val="single" w:sz="8" w:space="0" w:color="000000"/>
              <w:bottom w:val="single" w:sz="8" w:space="0" w:color="000000"/>
              <w:right w:val="nil"/>
            </w:tcBorders>
            <w:shd w:val="clear" w:color="auto" w:fill="auto"/>
            <w:vAlign w:val="center"/>
          </w:tcPr>
          <w:p w14:paraId="3C85916C"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r>
      <w:tr w:rsidR="00F05EF7" w:rsidRPr="00F05EF7" w14:paraId="30A9B99F" w14:textId="77777777" w:rsidTr="00930D82">
        <w:trPr>
          <w:trHeight w:val="260"/>
          <w:jc w:val="center"/>
        </w:trPr>
        <w:tc>
          <w:tcPr>
            <w:tcW w:w="620" w:type="pct"/>
            <w:tcBorders>
              <w:top w:val="nil"/>
              <w:left w:val="nil"/>
              <w:bottom w:val="single" w:sz="8" w:space="0" w:color="000000"/>
              <w:right w:val="single" w:sz="8" w:space="0" w:color="000000"/>
            </w:tcBorders>
            <w:shd w:val="clear" w:color="auto" w:fill="auto"/>
            <w:vAlign w:val="center"/>
          </w:tcPr>
          <w:p w14:paraId="15AF73A0"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736" w:type="pct"/>
            <w:tcBorders>
              <w:top w:val="nil"/>
              <w:left w:val="nil"/>
              <w:bottom w:val="single" w:sz="8" w:space="0" w:color="000000"/>
              <w:right w:val="single" w:sz="8" w:space="0" w:color="000000"/>
            </w:tcBorders>
            <w:shd w:val="clear" w:color="auto" w:fill="auto"/>
            <w:vAlign w:val="center"/>
          </w:tcPr>
          <w:p w14:paraId="06F38B15"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9,17%</w:t>
            </w:r>
          </w:p>
        </w:tc>
        <w:tc>
          <w:tcPr>
            <w:tcW w:w="786" w:type="pct"/>
            <w:tcBorders>
              <w:top w:val="nil"/>
              <w:left w:val="nil"/>
              <w:bottom w:val="single" w:sz="8" w:space="0" w:color="000000"/>
              <w:right w:val="single" w:sz="8" w:space="0" w:color="000000"/>
            </w:tcBorders>
            <w:shd w:val="clear" w:color="auto" w:fill="auto"/>
            <w:vAlign w:val="center"/>
          </w:tcPr>
          <w:p w14:paraId="482B62D2"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15,20%</w:t>
            </w:r>
          </w:p>
        </w:tc>
        <w:tc>
          <w:tcPr>
            <w:tcW w:w="733" w:type="pct"/>
            <w:tcBorders>
              <w:top w:val="nil"/>
              <w:left w:val="nil"/>
              <w:bottom w:val="single" w:sz="8" w:space="0" w:color="000000"/>
              <w:right w:val="single" w:sz="8" w:space="0" w:color="000000"/>
            </w:tcBorders>
            <w:shd w:val="clear" w:color="auto" w:fill="auto"/>
            <w:vAlign w:val="center"/>
          </w:tcPr>
          <w:p w14:paraId="437AE2FD"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26,57%</w:t>
            </w:r>
          </w:p>
        </w:tc>
        <w:tc>
          <w:tcPr>
            <w:tcW w:w="747" w:type="pct"/>
            <w:tcBorders>
              <w:top w:val="nil"/>
              <w:left w:val="nil"/>
              <w:bottom w:val="single" w:sz="8" w:space="0" w:color="000000"/>
              <w:right w:val="single" w:sz="8" w:space="0" w:color="000000"/>
            </w:tcBorders>
            <w:shd w:val="clear" w:color="auto" w:fill="auto"/>
            <w:vAlign w:val="center"/>
          </w:tcPr>
          <w:p w14:paraId="5C62CF70"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0,00%</w:t>
            </w:r>
          </w:p>
        </w:tc>
        <w:tc>
          <w:tcPr>
            <w:tcW w:w="696" w:type="pct"/>
            <w:tcBorders>
              <w:top w:val="nil"/>
              <w:left w:val="nil"/>
              <w:bottom w:val="single" w:sz="8" w:space="0" w:color="000000"/>
              <w:right w:val="nil"/>
            </w:tcBorders>
            <w:shd w:val="clear" w:color="auto" w:fill="auto"/>
            <w:vAlign w:val="center"/>
          </w:tcPr>
          <w:p w14:paraId="55BCD91F"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49,06%</w:t>
            </w:r>
          </w:p>
        </w:tc>
        <w:tc>
          <w:tcPr>
            <w:tcW w:w="682" w:type="pct"/>
            <w:tcBorders>
              <w:top w:val="single" w:sz="4" w:space="0" w:color="000000"/>
              <w:left w:val="single" w:sz="4" w:space="0" w:color="000000"/>
              <w:bottom w:val="single" w:sz="4" w:space="0" w:color="000000"/>
              <w:right w:val="nil"/>
            </w:tcBorders>
            <w:shd w:val="clear" w:color="auto" w:fill="auto"/>
            <w:vAlign w:val="center"/>
          </w:tcPr>
          <w:p w14:paraId="48E26782" w14:textId="77777777" w:rsidR="00821527" w:rsidRPr="00F05EF7" w:rsidRDefault="0010504B" w:rsidP="00AD5592">
            <w:pPr>
              <w:jc w:val="center"/>
              <w:rPr>
                <w:b/>
                <w:sz w:val="20"/>
                <w:szCs w:val="20"/>
              </w:rPr>
            </w:pPr>
            <w:r w:rsidRPr="00F05EF7">
              <w:rPr>
                <w:b/>
                <w:sz w:val="20"/>
                <w:szCs w:val="20"/>
              </w:rPr>
              <w:t>100,00%</w:t>
            </w:r>
          </w:p>
        </w:tc>
      </w:tr>
      <w:tr w:rsidR="00F05EF7" w:rsidRPr="00F05EF7" w14:paraId="3795CEC7" w14:textId="77777777" w:rsidTr="00930D82">
        <w:trPr>
          <w:trHeight w:val="260"/>
          <w:jc w:val="center"/>
        </w:trPr>
        <w:tc>
          <w:tcPr>
            <w:tcW w:w="620" w:type="pct"/>
            <w:tcBorders>
              <w:top w:val="nil"/>
              <w:left w:val="nil"/>
              <w:bottom w:val="single" w:sz="8" w:space="0" w:color="000000"/>
              <w:right w:val="single" w:sz="8" w:space="0" w:color="000000"/>
            </w:tcBorders>
            <w:shd w:val="clear" w:color="auto" w:fill="auto"/>
            <w:vAlign w:val="center"/>
          </w:tcPr>
          <w:p w14:paraId="7A42E8F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736" w:type="pct"/>
            <w:tcBorders>
              <w:top w:val="nil"/>
              <w:left w:val="nil"/>
              <w:bottom w:val="single" w:sz="8" w:space="0" w:color="000000"/>
              <w:right w:val="single" w:sz="8" w:space="0" w:color="000000"/>
            </w:tcBorders>
            <w:shd w:val="clear" w:color="auto" w:fill="auto"/>
            <w:vAlign w:val="center"/>
          </w:tcPr>
          <w:p w14:paraId="73F0549F"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29,24%</w:t>
            </w:r>
          </w:p>
        </w:tc>
        <w:tc>
          <w:tcPr>
            <w:tcW w:w="786" w:type="pct"/>
            <w:tcBorders>
              <w:top w:val="nil"/>
              <w:left w:val="nil"/>
              <w:bottom w:val="single" w:sz="8" w:space="0" w:color="000000"/>
              <w:right w:val="single" w:sz="8" w:space="0" w:color="000000"/>
            </w:tcBorders>
            <w:shd w:val="clear" w:color="auto" w:fill="auto"/>
            <w:vAlign w:val="center"/>
          </w:tcPr>
          <w:p w14:paraId="65EB5291"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17,15%</w:t>
            </w:r>
          </w:p>
        </w:tc>
        <w:tc>
          <w:tcPr>
            <w:tcW w:w="733" w:type="pct"/>
            <w:tcBorders>
              <w:top w:val="nil"/>
              <w:left w:val="nil"/>
              <w:bottom w:val="single" w:sz="8" w:space="0" w:color="000000"/>
              <w:right w:val="single" w:sz="8" w:space="0" w:color="000000"/>
            </w:tcBorders>
            <w:shd w:val="clear" w:color="auto" w:fill="auto"/>
            <w:vAlign w:val="center"/>
          </w:tcPr>
          <w:p w14:paraId="0FCB79CB"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48,33%</w:t>
            </w:r>
          </w:p>
        </w:tc>
        <w:tc>
          <w:tcPr>
            <w:tcW w:w="747" w:type="pct"/>
            <w:tcBorders>
              <w:top w:val="nil"/>
              <w:left w:val="nil"/>
              <w:bottom w:val="single" w:sz="8" w:space="0" w:color="000000"/>
              <w:right w:val="single" w:sz="8" w:space="0" w:color="000000"/>
            </w:tcBorders>
            <w:shd w:val="clear" w:color="auto" w:fill="auto"/>
            <w:vAlign w:val="center"/>
          </w:tcPr>
          <w:p w14:paraId="0C0C108E"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0,86%</w:t>
            </w:r>
          </w:p>
        </w:tc>
        <w:tc>
          <w:tcPr>
            <w:tcW w:w="696" w:type="pct"/>
            <w:tcBorders>
              <w:top w:val="nil"/>
              <w:left w:val="nil"/>
              <w:bottom w:val="single" w:sz="8" w:space="0" w:color="000000"/>
              <w:right w:val="nil"/>
            </w:tcBorders>
            <w:shd w:val="clear" w:color="auto" w:fill="auto"/>
            <w:vAlign w:val="center"/>
          </w:tcPr>
          <w:p w14:paraId="45E3C6B7"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4,42%</w:t>
            </w:r>
          </w:p>
        </w:tc>
        <w:tc>
          <w:tcPr>
            <w:tcW w:w="682" w:type="pct"/>
            <w:tcBorders>
              <w:top w:val="nil"/>
              <w:left w:val="single" w:sz="4" w:space="0" w:color="000000"/>
              <w:bottom w:val="single" w:sz="4" w:space="0" w:color="000000"/>
              <w:right w:val="nil"/>
            </w:tcBorders>
            <w:shd w:val="clear" w:color="auto" w:fill="auto"/>
            <w:vAlign w:val="center"/>
          </w:tcPr>
          <w:p w14:paraId="4E4B3DFC" w14:textId="77777777" w:rsidR="00821527" w:rsidRPr="00F05EF7" w:rsidRDefault="0010504B" w:rsidP="00AD5592">
            <w:pPr>
              <w:jc w:val="center"/>
              <w:rPr>
                <w:b/>
                <w:sz w:val="20"/>
                <w:szCs w:val="20"/>
              </w:rPr>
            </w:pPr>
            <w:r w:rsidRPr="00F05EF7">
              <w:rPr>
                <w:b/>
                <w:sz w:val="20"/>
                <w:szCs w:val="20"/>
              </w:rPr>
              <w:t>100,00%</w:t>
            </w:r>
          </w:p>
        </w:tc>
      </w:tr>
      <w:tr w:rsidR="00F05EF7" w:rsidRPr="00F05EF7" w14:paraId="3D3F4DB2" w14:textId="77777777" w:rsidTr="00930D82">
        <w:trPr>
          <w:trHeight w:val="260"/>
          <w:jc w:val="center"/>
        </w:trPr>
        <w:tc>
          <w:tcPr>
            <w:tcW w:w="620" w:type="pct"/>
            <w:tcBorders>
              <w:top w:val="nil"/>
              <w:left w:val="nil"/>
              <w:bottom w:val="single" w:sz="8" w:space="0" w:color="000000"/>
              <w:right w:val="single" w:sz="8" w:space="0" w:color="000000"/>
            </w:tcBorders>
            <w:shd w:val="clear" w:color="auto" w:fill="auto"/>
            <w:vAlign w:val="center"/>
          </w:tcPr>
          <w:p w14:paraId="092A872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736" w:type="pct"/>
            <w:tcBorders>
              <w:top w:val="nil"/>
              <w:left w:val="nil"/>
              <w:bottom w:val="single" w:sz="8" w:space="0" w:color="000000"/>
              <w:right w:val="single" w:sz="8" w:space="0" w:color="000000"/>
            </w:tcBorders>
            <w:shd w:val="clear" w:color="auto" w:fill="auto"/>
            <w:vAlign w:val="center"/>
          </w:tcPr>
          <w:p w14:paraId="3F8FBB5C"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4,80%</w:t>
            </w:r>
          </w:p>
        </w:tc>
        <w:tc>
          <w:tcPr>
            <w:tcW w:w="786" w:type="pct"/>
            <w:tcBorders>
              <w:top w:val="nil"/>
              <w:left w:val="nil"/>
              <w:bottom w:val="single" w:sz="8" w:space="0" w:color="000000"/>
              <w:right w:val="single" w:sz="8" w:space="0" w:color="000000"/>
            </w:tcBorders>
            <w:shd w:val="clear" w:color="auto" w:fill="auto"/>
            <w:vAlign w:val="center"/>
          </w:tcPr>
          <w:p w14:paraId="08138A3F"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7,28%</w:t>
            </w:r>
          </w:p>
        </w:tc>
        <w:tc>
          <w:tcPr>
            <w:tcW w:w="733" w:type="pct"/>
            <w:tcBorders>
              <w:top w:val="nil"/>
              <w:left w:val="nil"/>
              <w:bottom w:val="single" w:sz="8" w:space="0" w:color="000000"/>
              <w:right w:val="single" w:sz="8" w:space="0" w:color="000000"/>
            </w:tcBorders>
            <w:shd w:val="clear" w:color="auto" w:fill="auto"/>
            <w:vAlign w:val="center"/>
          </w:tcPr>
          <w:p w14:paraId="70AB53D9"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29,05%</w:t>
            </w:r>
          </w:p>
        </w:tc>
        <w:tc>
          <w:tcPr>
            <w:tcW w:w="747" w:type="pct"/>
            <w:tcBorders>
              <w:top w:val="nil"/>
              <w:left w:val="nil"/>
              <w:bottom w:val="single" w:sz="8" w:space="0" w:color="000000"/>
              <w:right w:val="single" w:sz="8" w:space="0" w:color="000000"/>
            </w:tcBorders>
            <w:shd w:val="clear" w:color="auto" w:fill="auto"/>
            <w:vAlign w:val="center"/>
          </w:tcPr>
          <w:p w14:paraId="77BC982D"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0,00%</w:t>
            </w:r>
          </w:p>
        </w:tc>
        <w:tc>
          <w:tcPr>
            <w:tcW w:w="696" w:type="pct"/>
            <w:tcBorders>
              <w:top w:val="nil"/>
              <w:left w:val="nil"/>
              <w:bottom w:val="single" w:sz="8" w:space="0" w:color="000000"/>
              <w:right w:val="nil"/>
            </w:tcBorders>
            <w:shd w:val="clear" w:color="auto" w:fill="auto"/>
            <w:vAlign w:val="center"/>
          </w:tcPr>
          <w:p w14:paraId="1926E95E"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58,86%</w:t>
            </w:r>
          </w:p>
        </w:tc>
        <w:tc>
          <w:tcPr>
            <w:tcW w:w="682" w:type="pct"/>
            <w:tcBorders>
              <w:top w:val="nil"/>
              <w:left w:val="single" w:sz="4" w:space="0" w:color="000000"/>
              <w:bottom w:val="single" w:sz="4" w:space="0" w:color="000000"/>
              <w:right w:val="nil"/>
            </w:tcBorders>
            <w:shd w:val="clear" w:color="auto" w:fill="auto"/>
            <w:vAlign w:val="center"/>
          </w:tcPr>
          <w:p w14:paraId="04D367BC" w14:textId="77777777" w:rsidR="00821527" w:rsidRPr="00F05EF7" w:rsidRDefault="0010504B" w:rsidP="00AD5592">
            <w:pPr>
              <w:jc w:val="center"/>
              <w:rPr>
                <w:b/>
                <w:sz w:val="20"/>
                <w:szCs w:val="20"/>
              </w:rPr>
            </w:pPr>
            <w:r w:rsidRPr="00F05EF7">
              <w:rPr>
                <w:b/>
                <w:sz w:val="20"/>
                <w:szCs w:val="20"/>
              </w:rPr>
              <w:t>100,00%</w:t>
            </w:r>
          </w:p>
        </w:tc>
      </w:tr>
      <w:tr w:rsidR="00F05EF7" w:rsidRPr="00F05EF7" w14:paraId="08ECDD24" w14:textId="77777777" w:rsidTr="00930D82">
        <w:trPr>
          <w:trHeight w:val="260"/>
          <w:jc w:val="center"/>
        </w:trPr>
        <w:tc>
          <w:tcPr>
            <w:tcW w:w="620" w:type="pct"/>
            <w:tcBorders>
              <w:top w:val="nil"/>
              <w:left w:val="nil"/>
              <w:bottom w:val="single" w:sz="8" w:space="0" w:color="000000"/>
              <w:right w:val="single" w:sz="8" w:space="0" w:color="000000"/>
            </w:tcBorders>
            <w:shd w:val="clear" w:color="auto" w:fill="auto"/>
            <w:vAlign w:val="center"/>
          </w:tcPr>
          <w:p w14:paraId="40947A8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736" w:type="pct"/>
            <w:tcBorders>
              <w:top w:val="nil"/>
              <w:left w:val="nil"/>
              <w:bottom w:val="single" w:sz="8" w:space="0" w:color="000000"/>
              <w:right w:val="single" w:sz="8" w:space="0" w:color="000000"/>
            </w:tcBorders>
            <w:shd w:val="clear" w:color="auto" w:fill="auto"/>
            <w:vAlign w:val="center"/>
          </w:tcPr>
          <w:p w14:paraId="1B2E9213"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11,17%</w:t>
            </w:r>
          </w:p>
        </w:tc>
        <w:tc>
          <w:tcPr>
            <w:tcW w:w="786" w:type="pct"/>
            <w:tcBorders>
              <w:top w:val="nil"/>
              <w:left w:val="nil"/>
              <w:bottom w:val="single" w:sz="8" w:space="0" w:color="000000"/>
              <w:right w:val="single" w:sz="8" w:space="0" w:color="000000"/>
            </w:tcBorders>
            <w:shd w:val="clear" w:color="auto" w:fill="auto"/>
            <w:vAlign w:val="center"/>
          </w:tcPr>
          <w:p w14:paraId="64A69960"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5,82%</w:t>
            </w:r>
          </w:p>
        </w:tc>
        <w:tc>
          <w:tcPr>
            <w:tcW w:w="733" w:type="pct"/>
            <w:tcBorders>
              <w:top w:val="nil"/>
              <w:left w:val="nil"/>
              <w:bottom w:val="single" w:sz="8" w:space="0" w:color="000000"/>
              <w:right w:val="single" w:sz="8" w:space="0" w:color="000000"/>
            </w:tcBorders>
            <w:shd w:val="clear" w:color="auto" w:fill="auto"/>
            <w:vAlign w:val="center"/>
          </w:tcPr>
          <w:p w14:paraId="6656D3BC"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67,13%</w:t>
            </w:r>
          </w:p>
        </w:tc>
        <w:tc>
          <w:tcPr>
            <w:tcW w:w="747" w:type="pct"/>
            <w:tcBorders>
              <w:top w:val="nil"/>
              <w:left w:val="nil"/>
              <w:bottom w:val="single" w:sz="8" w:space="0" w:color="000000"/>
              <w:right w:val="single" w:sz="8" w:space="0" w:color="000000"/>
            </w:tcBorders>
            <w:shd w:val="clear" w:color="auto" w:fill="auto"/>
            <w:vAlign w:val="center"/>
          </w:tcPr>
          <w:p w14:paraId="2C05C7A9"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15,88%</w:t>
            </w:r>
          </w:p>
        </w:tc>
        <w:tc>
          <w:tcPr>
            <w:tcW w:w="696" w:type="pct"/>
            <w:tcBorders>
              <w:top w:val="nil"/>
              <w:left w:val="nil"/>
              <w:bottom w:val="single" w:sz="8" w:space="0" w:color="000000"/>
              <w:right w:val="nil"/>
            </w:tcBorders>
            <w:shd w:val="clear" w:color="auto" w:fill="auto"/>
            <w:vAlign w:val="center"/>
          </w:tcPr>
          <w:p w14:paraId="74C97B9A"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0,00%</w:t>
            </w:r>
          </w:p>
        </w:tc>
        <w:tc>
          <w:tcPr>
            <w:tcW w:w="682" w:type="pct"/>
            <w:tcBorders>
              <w:top w:val="nil"/>
              <w:left w:val="single" w:sz="4" w:space="0" w:color="000000"/>
              <w:bottom w:val="single" w:sz="4" w:space="0" w:color="000000"/>
              <w:right w:val="nil"/>
            </w:tcBorders>
            <w:shd w:val="clear" w:color="auto" w:fill="auto"/>
            <w:vAlign w:val="center"/>
          </w:tcPr>
          <w:p w14:paraId="7097C1A5" w14:textId="77777777" w:rsidR="00821527" w:rsidRPr="00F05EF7" w:rsidRDefault="0010504B" w:rsidP="00AD5592">
            <w:pPr>
              <w:jc w:val="center"/>
              <w:rPr>
                <w:b/>
                <w:sz w:val="20"/>
                <w:szCs w:val="20"/>
              </w:rPr>
            </w:pPr>
            <w:r w:rsidRPr="00F05EF7">
              <w:rPr>
                <w:b/>
                <w:sz w:val="20"/>
                <w:szCs w:val="20"/>
              </w:rPr>
              <w:t>100,00%</w:t>
            </w:r>
          </w:p>
        </w:tc>
      </w:tr>
      <w:tr w:rsidR="00F05EF7" w:rsidRPr="00F05EF7" w14:paraId="025C0DBB" w14:textId="77777777" w:rsidTr="00930D82">
        <w:trPr>
          <w:trHeight w:val="260"/>
          <w:jc w:val="center"/>
        </w:trPr>
        <w:tc>
          <w:tcPr>
            <w:tcW w:w="620" w:type="pct"/>
            <w:tcBorders>
              <w:top w:val="nil"/>
              <w:left w:val="nil"/>
              <w:bottom w:val="single" w:sz="8" w:space="0" w:color="000000"/>
              <w:right w:val="single" w:sz="8" w:space="0" w:color="000000"/>
            </w:tcBorders>
            <w:shd w:val="clear" w:color="auto" w:fill="auto"/>
            <w:vAlign w:val="center"/>
          </w:tcPr>
          <w:p w14:paraId="01EC6DD9"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736" w:type="pct"/>
            <w:tcBorders>
              <w:top w:val="nil"/>
              <w:left w:val="nil"/>
              <w:bottom w:val="single" w:sz="8" w:space="0" w:color="000000"/>
              <w:right w:val="single" w:sz="8" w:space="0" w:color="000000"/>
            </w:tcBorders>
            <w:shd w:val="clear" w:color="auto" w:fill="auto"/>
            <w:vAlign w:val="center"/>
          </w:tcPr>
          <w:p w14:paraId="663EC10C"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24,19%</w:t>
            </w:r>
          </w:p>
        </w:tc>
        <w:tc>
          <w:tcPr>
            <w:tcW w:w="786" w:type="pct"/>
            <w:tcBorders>
              <w:top w:val="nil"/>
              <w:left w:val="nil"/>
              <w:bottom w:val="single" w:sz="8" w:space="0" w:color="000000"/>
              <w:right w:val="single" w:sz="8" w:space="0" w:color="000000"/>
            </w:tcBorders>
            <w:shd w:val="clear" w:color="auto" w:fill="auto"/>
            <w:vAlign w:val="center"/>
          </w:tcPr>
          <w:p w14:paraId="1080D171"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11,92%</w:t>
            </w:r>
          </w:p>
        </w:tc>
        <w:tc>
          <w:tcPr>
            <w:tcW w:w="733" w:type="pct"/>
            <w:tcBorders>
              <w:top w:val="nil"/>
              <w:left w:val="nil"/>
              <w:bottom w:val="single" w:sz="8" w:space="0" w:color="000000"/>
              <w:right w:val="single" w:sz="8" w:space="0" w:color="000000"/>
            </w:tcBorders>
            <w:shd w:val="clear" w:color="auto" w:fill="auto"/>
            <w:vAlign w:val="center"/>
          </w:tcPr>
          <w:p w14:paraId="38EF8BA2"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62,50%</w:t>
            </w:r>
          </w:p>
        </w:tc>
        <w:tc>
          <w:tcPr>
            <w:tcW w:w="747" w:type="pct"/>
            <w:tcBorders>
              <w:top w:val="nil"/>
              <w:left w:val="nil"/>
              <w:bottom w:val="single" w:sz="8" w:space="0" w:color="000000"/>
              <w:right w:val="single" w:sz="8" w:space="0" w:color="000000"/>
            </w:tcBorders>
            <w:shd w:val="clear" w:color="auto" w:fill="auto"/>
            <w:vAlign w:val="center"/>
          </w:tcPr>
          <w:p w14:paraId="58CC8670"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0,00%</w:t>
            </w:r>
          </w:p>
        </w:tc>
        <w:tc>
          <w:tcPr>
            <w:tcW w:w="696" w:type="pct"/>
            <w:tcBorders>
              <w:top w:val="nil"/>
              <w:left w:val="nil"/>
              <w:bottom w:val="single" w:sz="8" w:space="0" w:color="000000"/>
              <w:right w:val="nil"/>
            </w:tcBorders>
            <w:shd w:val="clear" w:color="auto" w:fill="auto"/>
            <w:vAlign w:val="center"/>
          </w:tcPr>
          <w:p w14:paraId="394E668E" w14:textId="77777777" w:rsidR="00821527" w:rsidRPr="00F05EF7" w:rsidRDefault="0010504B" w:rsidP="00AD5592">
            <w:pPr>
              <w:jc w:val="center"/>
              <w:rPr>
                <w:rFonts w:ascii="Times New Roman" w:eastAsia="Times New Roman" w:hAnsi="Times New Roman" w:cs="Times New Roman"/>
                <w:sz w:val="18"/>
                <w:szCs w:val="18"/>
              </w:rPr>
            </w:pPr>
            <w:r w:rsidRPr="00F05EF7">
              <w:rPr>
                <w:rFonts w:ascii="Times New Roman" w:eastAsia="Times New Roman" w:hAnsi="Times New Roman" w:cs="Times New Roman"/>
                <w:sz w:val="18"/>
                <w:szCs w:val="18"/>
              </w:rPr>
              <w:t>1,40%</w:t>
            </w:r>
          </w:p>
        </w:tc>
        <w:tc>
          <w:tcPr>
            <w:tcW w:w="682" w:type="pct"/>
            <w:tcBorders>
              <w:top w:val="nil"/>
              <w:left w:val="single" w:sz="4" w:space="0" w:color="000000"/>
              <w:bottom w:val="single" w:sz="4" w:space="0" w:color="000000"/>
              <w:right w:val="nil"/>
            </w:tcBorders>
            <w:shd w:val="clear" w:color="auto" w:fill="auto"/>
            <w:vAlign w:val="center"/>
          </w:tcPr>
          <w:p w14:paraId="0FC136B2" w14:textId="77777777" w:rsidR="00821527" w:rsidRPr="00F05EF7" w:rsidRDefault="0010504B" w:rsidP="00AD5592">
            <w:pPr>
              <w:jc w:val="center"/>
              <w:rPr>
                <w:b/>
                <w:sz w:val="20"/>
                <w:szCs w:val="20"/>
              </w:rPr>
            </w:pPr>
            <w:r w:rsidRPr="00F05EF7">
              <w:rPr>
                <w:b/>
                <w:sz w:val="20"/>
                <w:szCs w:val="20"/>
              </w:rPr>
              <w:t>100,00%</w:t>
            </w:r>
          </w:p>
        </w:tc>
      </w:tr>
    </w:tbl>
    <w:p w14:paraId="6855F928" w14:textId="45444F3E" w:rsidR="00F9587A" w:rsidRDefault="00F9587A"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pelos autores com base na pesquisa.</w:t>
      </w:r>
    </w:p>
    <w:p w14:paraId="68A0E3F3" w14:textId="77777777" w:rsidR="00F9587A" w:rsidRPr="00F9587A" w:rsidRDefault="00F9587A" w:rsidP="00AD5592">
      <w:pPr>
        <w:widowControl w:val="0"/>
        <w:pBdr>
          <w:top w:val="nil"/>
          <w:left w:val="nil"/>
          <w:bottom w:val="nil"/>
          <w:right w:val="nil"/>
          <w:between w:val="nil"/>
        </w:pBdr>
        <w:ind w:firstLine="709"/>
        <w:jc w:val="both"/>
        <w:rPr>
          <w:rFonts w:ascii="Times New Roman" w:eastAsia="Times New Roman" w:hAnsi="Times New Roman" w:cs="Times New Roman"/>
          <w:sz w:val="20"/>
          <w:szCs w:val="20"/>
        </w:rPr>
      </w:pPr>
    </w:p>
    <w:p w14:paraId="1632937C" w14:textId="41E379F7"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Os dados do município de Faxinal do Soturno demonstram que a fonte de recurso mais utilizada para a abertura dos créditos adicionais é anulação de dotação, com exceção dos exercícios financeiros de 2014 e 2016, onde outras fontes teve montantes</w:t>
      </w:r>
      <w:r w:rsidR="00EA6316" w:rsidRPr="00F05EF7">
        <w:rPr>
          <w:rFonts w:ascii="Times New Roman" w:eastAsia="Times New Roman" w:hAnsi="Times New Roman" w:cs="Times New Roman"/>
        </w:rPr>
        <w:t xml:space="preserve"> ainda</w:t>
      </w:r>
      <w:r w:rsidRPr="00F05EF7">
        <w:rPr>
          <w:rFonts w:ascii="Times New Roman" w:eastAsia="Times New Roman" w:hAnsi="Times New Roman" w:cs="Times New Roman"/>
        </w:rPr>
        <w:t xml:space="preserve"> maiores. A anulação de dotação representou 26,57% dos créditos adicionais abertos em 2014, 48,33% em 2015, 29,05% em 2016, 67,13% em 2017 e 62,50% em 2018.</w:t>
      </w:r>
    </w:p>
    <w:p w14:paraId="2D50BB23" w14:textId="4B096EF8"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Quanto às demais fontes, observa-se que os valores movimentados como fonte de excesso de arrecadação representaram </w:t>
      </w:r>
      <w:r w:rsidR="00EA6316" w:rsidRPr="00F05EF7">
        <w:rPr>
          <w:rFonts w:ascii="Times New Roman" w:eastAsia="Times New Roman" w:hAnsi="Times New Roman" w:cs="Times New Roman"/>
        </w:rPr>
        <w:t>um</w:t>
      </w:r>
      <w:r w:rsidRPr="00F05EF7">
        <w:rPr>
          <w:rFonts w:ascii="Times New Roman" w:eastAsia="Times New Roman" w:hAnsi="Times New Roman" w:cs="Times New Roman"/>
        </w:rPr>
        <w:t xml:space="preserve"> mínimo de 5,82% (2017) e </w:t>
      </w:r>
      <w:r w:rsidR="00EA6316" w:rsidRPr="00F05EF7">
        <w:rPr>
          <w:rFonts w:ascii="Times New Roman" w:eastAsia="Times New Roman" w:hAnsi="Times New Roman" w:cs="Times New Roman"/>
        </w:rPr>
        <w:t>um</w:t>
      </w:r>
      <w:r w:rsidRPr="00F05EF7">
        <w:rPr>
          <w:rFonts w:ascii="Times New Roman" w:eastAsia="Times New Roman" w:hAnsi="Times New Roman" w:cs="Times New Roman"/>
        </w:rPr>
        <w:t xml:space="preserve"> máximo 17,15% (2015) dos créditos adicionais abertos no período, enquanto o superávit financeiro representou </w:t>
      </w:r>
      <w:r w:rsidR="00EA6316" w:rsidRPr="00F05EF7">
        <w:rPr>
          <w:rFonts w:ascii="Times New Roman" w:eastAsia="Times New Roman" w:hAnsi="Times New Roman" w:cs="Times New Roman"/>
        </w:rPr>
        <w:t xml:space="preserve">um </w:t>
      </w:r>
      <w:r w:rsidRPr="00F05EF7">
        <w:rPr>
          <w:rFonts w:ascii="Times New Roman" w:eastAsia="Times New Roman" w:hAnsi="Times New Roman" w:cs="Times New Roman"/>
        </w:rPr>
        <w:t xml:space="preserve">mínimo de 4,80% (2016) e um máximo de 29,24% (2015) </w:t>
      </w:r>
      <w:r w:rsidR="00EA6316" w:rsidRPr="00F05EF7">
        <w:rPr>
          <w:rFonts w:ascii="Times New Roman" w:eastAsia="Times New Roman" w:hAnsi="Times New Roman" w:cs="Times New Roman"/>
        </w:rPr>
        <w:t>dentro do</w:t>
      </w:r>
      <w:r w:rsidRPr="00F05EF7">
        <w:rPr>
          <w:rFonts w:ascii="Times New Roman" w:eastAsia="Times New Roman" w:hAnsi="Times New Roman" w:cs="Times New Roman"/>
        </w:rPr>
        <w:t xml:space="preserve"> período</w:t>
      </w:r>
      <w:r w:rsidR="00EA6316" w:rsidRPr="00F05EF7">
        <w:rPr>
          <w:rFonts w:ascii="Times New Roman" w:eastAsia="Times New Roman" w:hAnsi="Times New Roman" w:cs="Times New Roman"/>
        </w:rPr>
        <w:t xml:space="preserve"> analisado</w:t>
      </w:r>
      <w:r w:rsidRPr="00F05EF7">
        <w:rPr>
          <w:rFonts w:ascii="Times New Roman" w:eastAsia="Times New Roman" w:hAnsi="Times New Roman" w:cs="Times New Roman"/>
        </w:rPr>
        <w:t>. No que tange às operações de crédito, houve ocorrência de 0,86% em 2015 e 15,88% em 2017, enquanto outras fontes representaram 49,06% em 2014, 4,42% em 2016, 58,86% em 2016 e 1,40% em 2018.</w:t>
      </w:r>
    </w:p>
    <w:p w14:paraId="0D28054F" w14:textId="5B7C2145" w:rsidR="00821527" w:rsidRDefault="00854E27" w:rsidP="00AD5592">
      <w:pPr>
        <w:widowControl w:val="0"/>
        <w:jc w:val="both"/>
        <w:rPr>
          <w:rFonts w:ascii="Times New Roman" w:eastAsia="Times New Roman" w:hAnsi="Times New Roman" w:cs="Times New Roman"/>
        </w:rPr>
      </w:pPr>
      <w:r w:rsidRPr="00F05EF7">
        <w:rPr>
          <w:rFonts w:ascii="Times New Roman" w:eastAsia="Times New Roman" w:hAnsi="Times New Roman" w:cs="Times New Roman"/>
        </w:rPr>
        <w:tab/>
        <w:t>A</w:t>
      </w:r>
      <w:r w:rsidR="00930D82">
        <w:rPr>
          <w:rFonts w:ascii="Times New Roman" w:eastAsia="Times New Roman" w:hAnsi="Times New Roman" w:cs="Times New Roman"/>
        </w:rPr>
        <w:t xml:space="preserve"> T</w:t>
      </w:r>
      <w:r w:rsidR="0010504B" w:rsidRPr="00F05EF7">
        <w:rPr>
          <w:rFonts w:ascii="Times New Roman" w:eastAsia="Times New Roman" w:hAnsi="Times New Roman" w:cs="Times New Roman"/>
        </w:rPr>
        <w:t>abela</w:t>
      </w:r>
      <w:r w:rsidRPr="00F05EF7">
        <w:rPr>
          <w:rFonts w:ascii="Times New Roman" w:eastAsia="Times New Roman" w:hAnsi="Times New Roman" w:cs="Times New Roman"/>
        </w:rPr>
        <w:t xml:space="preserve"> </w:t>
      </w:r>
      <w:r w:rsidR="00051C18" w:rsidRPr="00F05EF7">
        <w:rPr>
          <w:rFonts w:ascii="Times New Roman" w:eastAsia="Times New Roman" w:hAnsi="Times New Roman" w:cs="Times New Roman"/>
        </w:rPr>
        <w:t>5</w:t>
      </w:r>
      <w:r w:rsidRPr="00F05EF7">
        <w:rPr>
          <w:rFonts w:ascii="Times New Roman" w:eastAsia="Times New Roman" w:hAnsi="Times New Roman" w:cs="Times New Roman"/>
        </w:rPr>
        <w:t xml:space="preserve"> traz</w:t>
      </w:r>
      <w:r w:rsidR="0010504B" w:rsidRPr="00F05EF7">
        <w:rPr>
          <w:rFonts w:ascii="Times New Roman" w:eastAsia="Times New Roman" w:hAnsi="Times New Roman" w:cs="Times New Roman"/>
        </w:rPr>
        <w:t xml:space="preserve"> as fontes de recurso utilizadas para abertura de créditos adicionais em </w:t>
      </w:r>
      <w:r w:rsidR="008A3A44" w:rsidRPr="00F05EF7">
        <w:rPr>
          <w:rFonts w:ascii="Times New Roman" w:eastAsia="Times New Roman" w:hAnsi="Times New Roman" w:cs="Times New Roman"/>
        </w:rPr>
        <w:t>percentil</w:t>
      </w:r>
      <w:r w:rsidR="0010504B" w:rsidRPr="00F05EF7">
        <w:rPr>
          <w:rFonts w:ascii="Times New Roman" w:eastAsia="Times New Roman" w:hAnsi="Times New Roman" w:cs="Times New Roman"/>
        </w:rPr>
        <w:t>, no período de 2014 a 2018, do município de Formigueiro</w:t>
      </w:r>
      <w:r w:rsidR="00BD29C1">
        <w:rPr>
          <w:rFonts w:ascii="Times New Roman" w:eastAsia="Times New Roman" w:hAnsi="Times New Roman" w:cs="Times New Roman"/>
        </w:rPr>
        <w:t>, o qual possui os percentuais mais elevados dentre todos os municípios da amostra</w:t>
      </w:r>
      <w:r w:rsidR="0010504B" w:rsidRPr="00F05EF7">
        <w:rPr>
          <w:rFonts w:ascii="Times New Roman" w:eastAsia="Times New Roman" w:hAnsi="Times New Roman" w:cs="Times New Roman"/>
        </w:rPr>
        <w:t>.</w:t>
      </w:r>
    </w:p>
    <w:p w14:paraId="441540DD" w14:textId="77777777" w:rsidR="00930D82" w:rsidRPr="00F05EF7" w:rsidRDefault="00930D82" w:rsidP="00AD5592">
      <w:pPr>
        <w:widowControl w:val="0"/>
        <w:jc w:val="both"/>
        <w:rPr>
          <w:rFonts w:ascii="Times New Roman" w:eastAsia="Times New Roman" w:hAnsi="Times New Roman" w:cs="Times New Roman"/>
        </w:rPr>
      </w:pPr>
    </w:p>
    <w:p w14:paraId="7CB5C4B4" w14:textId="25239C32"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051C18" w:rsidRPr="00AF0520">
        <w:rPr>
          <w:rFonts w:ascii="Times New Roman" w:eastAsia="Times New Roman" w:hAnsi="Times New Roman" w:cs="Times New Roman"/>
          <w:b/>
          <w:bCs/>
        </w:rPr>
        <w:t>5</w:t>
      </w:r>
      <w:r w:rsidRPr="00AF0520">
        <w:rPr>
          <w:rFonts w:ascii="Times New Roman" w:eastAsia="Times New Roman" w:hAnsi="Times New Roman" w:cs="Times New Roman"/>
          <w:b/>
          <w:bCs/>
        </w:rPr>
        <w:t xml:space="preserve"> – Fontes dos créditos adicionais de Formigueiro, em percentual</w:t>
      </w:r>
    </w:p>
    <w:tbl>
      <w:tblPr>
        <w:tblStyle w:val="af9"/>
        <w:tblW w:w="5000" w:type="pct"/>
        <w:jc w:val="right"/>
        <w:tblInd w:w="0" w:type="dxa"/>
        <w:tblLook w:val="0400" w:firstRow="0" w:lastRow="0" w:firstColumn="0" w:lastColumn="0" w:noHBand="0" w:noVBand="1"/>
      </w:tblPr>
      <w:tblGrid>
        <w:gridCol w:w="1046"/>
        <w:gridCol w:w="1323"/>
        <w:gridCol w:w="1324"/>
        <w:gridCol w:w="1324"/>
        <w:gridCol w:w="1430"/>
        <w:gridCol w:w="1301"/>
        <w:gridCol w:w="1323"/>
      </w:tblGrid>
      <w:tr w:rsidR="00F05EF7" w:rsidRPr="00F05EF7" w14:paraId="4E6E6F8B" w14:textId="77777777" w:rsidTr="00930D82">
        <w:trPr>
          <w:trHeight w:val="240"/>
          <w:jc w:val="right"/>
        </w:trPr>
        <w:tc>
          <w:tcPr>
            <w:tcW w:w="577" w:type="pct"/>
            <w:vMerge w:val="restart"/>
            <w:tcBorders>
              <w:top w:val="single" w:sz="8" w:space="0" w:color="000000"/>
              <w:left w:val="nil"/>
              <w:bottom w:val="single" w:sz="8" w:space="0" w:color="000000"/>
              <w:right w:val="single" w:sz="8" w:space="0" w:color="000000"/>
            </w:tcBorders>
            <w:shd w:val="clear" w:color="auto" w:fill="auto"/>
            <w:vAlign w:val="center"/>
          </w:tcPr>
          <w:p w14:paraId="6448351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7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29650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Superávit financeiro</w:t>
            </w:r>
          </w:p>
        </w:tc>
        <w:tc>
          <w:tcPr>
            <w:tcW w:w="73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15CE2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Excesso de arrecadação</w:t>
            </w:r>
          </w:p>
        </w:tc>
        <w:tc>
          <w:tcPr>
            <w:tcW w:w="73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929DB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Anulação de dotação</w:t>
            </w:r>
          </w:p>
        </w:tc>
        <w:tc>
          <w:tcPr>
            <w:tcW w:w="78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BA20F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Operação de crédito</w:t>
            </w:r>
          </w:p>
        </w:tc>
        <w:tc>
          <w:tcPr>
            <w:tcW w:w="717" w:type="pct"/>
            <w:vMerge w:val="restart"/>
            <w:tcBorders>
              <w:top w:val="single" w:sz="8" w:space="0" w:color="000000"/>
              <w:left w:val="single" w:sz="8" w:space="0" w:color="000000"/>
              <w:bottom w:val="single" w:sz="8" w:space="0" w:color="000000"/>
              <w:right w:val="nil"/>
            </w:tcBorders>
            <w:shd w:val="clear" w:color="auto" w:fill="auto"/>
            <w:vAlign w:val="center"/>
          </w:tcPr>
          <w:p w14:paraId="198FA49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730" w:type="pct"/>
            <w:vMerge w:val="restart"/>
            <w:tcBorders>
              <w:top w:val="single" w:sz="8" w:space="0" w:color="000000"/>
              <w:left w:val="single" w:sz="8" w:space="0" w:color="000000"/>
              <w:bottom w:val="nil"/>
              <w:right w:val="nil"/>
            </w:tcBorders>
            <w:shd w:val="clear" w:color="auto" w:fill="auto"/>
            <w:vAlign w:val="center"/>
          </w:tcPr>
          <w:p w14:paraId="36AAB85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40DF85FF" w14:textId="77777777" w:rsidTr="00930D82">
        <w:trPr>
          <w:trHeight w:val="264"/>
          <w:jc w:val="right"/>
        </w:trPr>
        <w:tc>
          <w:tcPr>
            <w:tcW w:w="577" w:type="pct"/>
            <w:vMerge/>
            <w:tcBorders>
              <w:top w:val="single" w:sz="8" w:space="0" w:color="000000"/>
              <w:left w:val="nil"/>
              <w:bottom w:val="single" w:sz="8" w:space="0" w:color="000000"/>
              <w:right w:val="single" w:sz="8" w:space="0" w:color="000000"/>
            </w:tcBorders>
            <w:shd w:val="clear" w:color="auto" w:fill="auto"/>
            <w:vAlign w:val="center"/>
          </w:tcPr>
          <w:p w14:paraId="7DB9F917"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2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95E023"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4976D"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F1FBFA"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8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5C7552"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17" w:type="pct"/>
            <w:vMerge/>
            <w:tcBorders>
              <w:top w:val="single" w:sz="8" w:space="0" w:color="000000"/>
              <w:left w:val="single" w:sz="8" w:space="0" w:color="000000"/>
              <w:bottom w:val="single" w:sz="8" w:space="0" w:color="000000"/>
              <w:right w:val="nil"/>
            </w:tcBorders>
            <w:shd w:val="clear" w:color="auto" w:fill="auto"/>
            <w:vAlign w:val="center"/>
          </w:tcPr>
          <w:p w14:paraId="7E0D99E9"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0" w:type="pct"/>
            <w:vMerge/>
            <w:tcBorders>
              <w:top w:val="single" w:sz="8" w:space="0" w:color="000000"/>
              <w:left w:val="single" w:sz="8" w:space="0" w:color="000000"/>
              <w:bottom w:val="nil"/>
              <w:right w:val="nil"/>
            </w:tcBorders>
            <w:shd w:val="clear" w:color="auto" w:fill="auto"/>
            <w:vAlign w:val="center"/>
          </w:tcPr>
          <w:p w14:paraId="6AD678A7"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r>
      <w:tr w:rsidR="00F05EF7" w:rsidRPr="00F05EF7" w14:paraId="57D67EB7" w14:textId="77777777" w:rsidTr="00930D82">
        <w:trPr>
          <w:trHeight w:val="260"/>
          <w:jc w:val="right"/>
        </w:trPr>
        <w:tc>
          <w:tcPr>
            <w:tcW w:w="577" w:type="pct"/>
            <w:tcBorders>
              <w:top w:val="nil"/>
              <w:left w:val="nil"/>
              <w:bottom w:val="single" w:sz="8" w:space="0" w:color="000000"/>
              <w:right w:val="single" w:sz="8" w:space="0" w:color="000000"/>
            </w:tcBorders>
            <w:shd w:val="clear" w:color="auto" w:fill="auto"/>
            <w:vAlign w:val="center"/>
          </w:tcPr>
          <w:p w14:paraId="5A244DB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729" w:type="pct"/>
            <w:tcBorders>
              <w:top w:val="nil"/>
              <w:left w:val="nil"/>
              <w:bottom w:val="single" w:sz="8" w:space="0" w:color="000000"/>
              <w:right w:val="single" w:sz="8" w:space="0" w:color="000000"/>
            </w:tcBorders>
            <w:shd w:val="clear" w:color="auto" w:fill="auto"/>
            <w:vAlign w:val="center"/>
          </w:tcPr>
          <w:p w14:paraId="3DC5792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16,10%</w:t>
            </w:r>
          </w:p>
        </w:tc>
        <w:tc>
          <w:tcPr>
            <w:tcW w:w="730" w:type="pct"/>
            <w:tcBorders>
              <w:top w:val="nil"/>
              <w:left w:val="nil"/>
              <w:bottom w:val="single" w:sz="8" w:space="0" w:color="000000"/>
              <w:right w:val="single" w:sz="8" w:space="0" w:color="000000"/>
            </w:tcBorders>
            <w:shd w:val="clear" w:color="auto" w:fill="auto"/>
            <w:vAlign w:val="center"/>
          </w:tcPr>
          <w:p w14:paraId="5BC4F48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45,06%</w:t>
            </w:r>
          </w:p>
        </w:tc>
        <w:tc>
          <w:tcPr>
            <w:tcW w:w="730" w:type="pct"/>
            <w:tcBorders>
              <w:top w:val="nil"/>
              <w:left w:val="nil"/>
              <w:bottom w:val="single" w:sz="8" w:space="0" w:color="000000"/>
              <w:right w:val="single" w:sz="8" w:space="0" w:color="000000"/>
            </w:tcBorders>
            <w:shd w:val="clear" w:color="auto" w:fill="auto"/>
            <w:vAlign w:val="center"/>
          </w:tcPr>
          <w:p w14:paraId="2DE5BD7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36,00%</w:t>
            </w:r>
          </w:p>
        </w:tc>
        <w:tc>
          <w:tcPr>
            <w:tcW w:w="788" w:type="pct"/>
            <w:tcBorders>
              <w:top w:val="nil"/>
              <w:left w:val="nil"/>
              <w:bottom w:val="single" w:sz="8" w:space="0" w:color="000000"/>
              <w:right w:val="single" w:sz="8" w:space="0" w:color="000000"/>
            </w:tcBorders>
            <w:shd w:val="clear" w:color="auto" w:fill="auto"/>
            <w:vAlign w:val="center"/>
          </w:tcPr>
          <w:p w14:paraId="61A1DFE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1A16CBA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2,84%</w:t>
            </w:r>
          </w:p>
        </w:tc>
        <w:tc>
          <w:tcPr>
            <w:tcW w:w="730" w:type="pct"/>
            <w:tcBorders>
              <w:top w:val="single" w:sz="4" w:space="0" w:color="000000"/>
              <w:left w:val="single" w:sz="4" w:space="0" w:color="000000"/>
              <w:bottom w:val="single" w:sz="4" w:space="0" w:color="000000"/>
              <w:right w:val="nil"/>
            </w:tcBorders>
            <w:shd w:val="clear" w:color="auto" w:fill="auto"/>
            <w:vAlign w:val="center"/>
          </w:tcPr>
          <w:p w14:paraId="778F8461"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0F4102CC" w14:textId="77777777" w:rsidTr="00930D82">
        <w:trPr>
          <w:trHeight w:val="260"/>
          <w:jc w:val="right"/>
        </w:trPr>
        <w:tc>
          <w:tcPr>
            <w:tcW w:w="577" w:type="pct"/>
            <w:tcBorders>
              <w:top w:val="nil"/>
              <w:left w:val="nil"/>
              <w:bottom w:val="single" w:sz="8" w:space="0" w:color="000000"/>
              <w:right w:val="single" w:sz="8" w:space="0" w:color="000000"/>
            </w:tcBorders>
            <w:shd w:val="clear" w:color="auto" w:fill="auto"/>
            <w:vAlign w:val="center"/>
          </w:tcPr>
          <w:p w14:paraId="5AC8078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729" w:type="pct"/>
            <w:tcBorders>
              <w:top w:val="nil"/>
              <w:left w:val="nil"/>
              <w:bottom w:val="single" w:sz="8" w:space="0" w:color="000000"/>
              <w:right w:val="single" w:sz="8" w:space="0" w:color="000000"/>
            </w:tcBorders>
            <w:shd w:val="clear" w:color="auto" w:fill="auto"/>
            <w:vAlign w:val="center"/>
          </w:tcPr>
          <w:p w14:paraId="46D57FB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26,87%</w:t>
            </w:r>
          </w:p>
        </w:tc>
        <w:tc>
          <w:tcPr>
            <w:tcW w:w="730" w:type="pct"/>
            <w:tcBorders>
              <w:top w:val="nil"/>
              <w:left w:val="nil"/>
              <w:bottom w:val="single" w:sz="8" w:space="0" w:color="000000"/>
              <w:right w:val="single" w:sz="8" w:space="0" w:color="000000"/>
            </w:tcBorders>
            <w:shd w:val="clear" w:color="auto" w:fill="auto"/>
            <w:vAlign w:val="center"/>
          </w:tcPr>
          <w:p w14:paraId="07924A4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33,78%</w:t>
            </w:r>
          </w:p>
        </w:tc>
        <w:tc>
          <w:tcPr>
            <w:tcW w:w="730" w:type="pct"/>
            <w:tcBorders>
              <w:top w:val="nil"/>
              <w:left w:val="nil"/>
              <w:bottom w:val="single" w:sz="8" w:space="0" w:color="000000"/>
              <w:right w:val="single" w:sz="8" w:space="0" w:color="000000"/>
            </w:tcBorders>
            <w:shd w:val="clear" w:color="auto" w:fill="auto"/>
            <w:vAlign w:val="center"/>
          </w:tcPr>
          <w:p w14:paraId="12377C3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39,34%</w:t>
            </w:r>
          </w:p>
        </w:tc>
        <w:tc>
          <w:tcPr>
            <w:tcW w:w="788" w:type="pct"/>
            <w:tcBorders>
              <w:top w:val="nil"/>
              <w:left w:val="nil"/>
              <w:bottom w:val="single" w:sz="8" w:space="0" w:color="000000"/>
              <w:right w:val="single" w:sz="8" w:space="0" w:color="000000"/>
            </w:tcBorders>
            <w:shd w:val="clear" w:color="auto" w:fill="auto"/>
            <w:vAlign w:val="center"/>
          </w:tcPr>
          <w:p w14:paraId="75A5840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69C6DAE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30" w:type="pct"/>
            <w:tcBorders>
              <w:top w:val="nil"/>
              <w:left w:val="single" w:sz="4" w:space="0" w:color="000000"/>
              <w:bottom w:val="single" w:sz="4" w:space="0" w:color="000000"/>
              <w:right w:val="nil"/>
            </w:tcBorders>
            <w:shd w:val="clear" w:color="auto" w:fill="auto"/>
            <w:vAlign w:val="center"/>
          </w:tcPr>
          <w:p w14:paraId="0CC8D28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12CCEB07" w14:textId="77777777" w:rsidTr="00930D82">
        <w:trPr>
          <w:trHeight w:val="260"/>
          <w:jc w:val="right"/>
        </w:trPr>
        <w:tc>
          <w:tcPr>
            <w:tcW w:w="577" w:type="pct"/>
            <w:tcBorders>
              <w:top w:val="nil"/>
              <w:left w:val="nil"/>
              <w:bottom w:val="single" w:sz="8" w:space="0" w:color="000000"/>
              <w:right w:val="single" w:sz="8" w:space="0" w:color="000000"/>
            </w:tcBorders>
            <w:shd w:val="clear" w:color="auto" w:fill="auto"/>
            <w:vAlign w:val="center"/>
          </w:tcPr>
          <w:p w14:paraId="4C1514B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729" w:type="pct"/>
            <w:tcBorders>
              <w:top w:val="nil"/>
              <w:left w:val="nil"/>
              <w:bottom w:val="single" w:sz="8" w:space="0" w:color="000000"/>
              <w:right w:val="single" w:sz="8" w:space="0" w:color="000000"/>
            </w:tcBorders>
            <w:shd w:val="clear" w:color="auto" w:fill="auto"/>
            <w:vAlign w:val="center"/>
          </w:tcPr>
          <w:p w14:paraId="5FC88AB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13,75%</w:t>
            </w:r>
          </w:p>
        </w:tc>
        <w:tc>
          <w:tcPr>
            <w:tcW w:w="730" w:type="pct"/>
            <w:tcBorders>
              <w:top w:val="nil"/>
              <w:left w:val="nil"/>
              <w:bottom w:val="single" w:sz="8" w:space="0" w:color="000000"/>
              <w:right w:val="single" w:sz="8" w:space="0" w:color="000000"/>
            </w:tcBorders>
            <w:shd w:val="clear" w:color="auto" w:fill="auto"/>
            <w:vAlign w:val="center"/>
          </w:tcPr>
          <w:p w14:paraId="2B7D9CD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47,79%</w:t>
            </w:r>
          </w:p>
        </w:tc>
        <w:tc>
          <w:tcPr>
            <w:tcW w:w="730" w:type="pct"/>
            <w:tcBorders>
              <w:top w:val="nil"/>
              <w:left w:val="nil"/>
              <w:bottom w:val="single" w:sz="8" w:space="0" w:color="000000"/>
              <w:right w:val="single" w:sz="8" w:space="0" w:color="000000"/>
            </w:tcBorders>
            <w:shd w:val="clear" w:color="auto" w:fill="auto"/>
            <w:vAlign w:val="center"/>
          </w:tcPr>
          <w:p w14:paraId="0CF5C2B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38,46%</w:t>
            </w:r>
          </w:p>
        </w:tc>
        <w:tc>
          <w:tcPr>
            <w:tcW w:w="788" w:type="pct"/>
            <w:tcBorders>
              <w:top w:val="nil"/>
              <w:left w:val="nil"/>
              <w:bottom w:val="single" w:sz="8" w:space="0" w:color="000000"/>
              <w:right w:val="single" w:sz="8" w:space="0" w:color="000000"/>
            </w:tcBorders>
            <w:shd w:val="clear" w:color="auto" w:fill="auto"/>
            <w:vAlign w:val="center"/>
          </w:tcPr>
          <w:p w14:paraId="4B3B903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47186E7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30" w:type="pct"/>
            <w:tcBorders>
              <w:top w:val="nil"/>
              <w:left w:val="single" w:sz="4" w:space="0" w:color="000000"/>
              <w:bottom w:val="single" w:sz="4" w:space="0" w:color="000000"/>
              <w:right w:val="nil"/>
            </w:tcBorders>
            <w:shd w:val="clear" w:color="auto" w:fill="auto"/>
            <w:vAlign w:val="center"/>
          </w:tcPr>
          <w:p w14:paraId="0F53897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13BC2785" w14:textId="77777777" w:rsidTr="00930D82">
        <w:trPr>
          <w:trHeight w:val="260"/>
          <w:jc w:val="right"/>
        </w:trPr>
        <w:tc>
          <w:tcPr>
            <w:tcW w:w="577" w:type="pct"/>
            <w:tcBorders>
              <w:top w:val="nil"/>
              <w:left w:val="nil"/>
              <w:bottom w:val="single" w:sz="8" w:space="0" w:color="000000"/>
              <w:right w:val="single" w:sz="8" w:space="0" w:color="000000"/>
            </w:tcBorders>
            <w:shd w:val="clear" w:color="auto" w:fill="auto"/>
            <w:vAlign w:val="center"/>
          </w:tcPr>
          <w:p w14:paraId="5A6134B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729" w:type="pct"/>
            <w:tcBorders>
              <w:top w:val="nil"/>
              <w:left w:val="nil"/>
              <w:bottom w:val="single" w:sz="8" w:space="0" w:color="000000"/>
              <w:right w:val="single" w:sz="8" w:space="0" w:color="000000"/>
            </w:tcBorders>
            <w:shd w:val="clear" w:color="auto" w:fill="auto"/>
            <w:vAlign w:val="center"/>
          </w:tcPr>
          <w:p w14:paraId="5E316EF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16,78%</w:t>
            </w:r>
          </w:p>
        </w:tc>
        <w:tc>
          <w:tcPr>
            <w:tcW w:w="730" w:type="pct"/>
            <w:tcBorders>
              <w:top w:val="nil"/>
              <w:left w:val="nil"/>
              <w:bottom w:val="single" w:sz="8" w:space="0" w:color="000000"/>
              <w:right w:val="single" w:sz="8" w:space="0" w:color="000000"/>
            </w:tcBorders>
            <w:shd w:val="clear" w:color="auto" w:fill="auto"/>
            <w:vAlign w:val="center"/>
          </w:tcPr>
          <w:p w14:paraId="297B8D1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36,12%</w:t>
            </w:r>
          </w:p>
        </w:tc>
        <w:tc>
          <w:tcPr>
            <w:tcW w:w="730" w:type="pct"/>
            <w:tcBorders>
              <w:top w:val="nil"/>
              <w:left w:val="nil"/>
              <w:bottom w:val="single" w:sz="8" w:space="0" w:color="000000"/>
              <w:right w:val="single" w:sz="8" w:space="0" w:color="000000"/>
            </w:tcBorders>
            <w:shd w:val="clear" w:color="auto" w:fill="auto"/>
            <w:vAlign w:val="center"/>
          </w:tcPr>
          <w:p w14:paraId="03E0998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47,10%</w:t>
            </w:r>
          </w:p>
        </w:tc>
        <w:tc>
          <w:tcPr>
            <w:tcW w:w="788" w:type="pct"/>
            <w:tcBorders>
              <w:top w:val="nil"/>
              <w:left w:val="nil"/>
              <w:bottom w:val="single" w:sz="8" w:space="0" w:color="000000"/>
              <w:right w:val="single" w:sz="8" w:space="0" w:color="000000"/>
            </w:tcBorders>
            <w:shd w:val="clear" w:color="auto" w:fill="auto"/>
            <w:vAlign w:val="center"/>
          </w:tcPr>
          <w:p w14:paraId="5A6D9DC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3A4B238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30" w:type="pct"/>
            <w:tcBorders>
              <w:top w:val="nil"/>
              <w:left w:val="single" w:sz="4" w:space="0" w:color="000000"/>
              <w:bottom w:val="single" w:sz="4" w:space="0" w:color="000000"/>
              <w:right w:val="nil"/>
            </w:tcBorders>
            <w:shd w:val="clear" w:color="auto" w:fill="auto"/>
            <w:vAlign w:val="center"/>
          </w:tcPr>
          <w:p w14:paraId="6F9DCC8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1C3FC1B8" w14:textId="77777777" w:rsidTr="00930D82">
        <w:trPr>
          <w:trHeight w:val="260"/>
          <w:jc w:val="right"/>
        </w:trPr>
        <w:tc>
          <w:tcPr>
            <w:tcW w:w="577" w:type="pct"/>
            <w:tcBorders>
              <w:top w:val="nil"/>
              <w:left w:val="nil"/>
              <w:bottom w:val="single" w:sz="8" w:space="0" w:color="000000"/>
              <w:right w:val="single" w:sz="8" w:space="0" w:color="000000"/>
            </w:tcBorders>
            <w:shd w:val="clear" w:color="auto" w:fill="auto"/>
            <w:vAlign w:val="center"/>
          </w:tcPr>
          <w:p w14:paraId="3444D01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729" w:type="pct"/>
            <w:tcBorders>
              <w:top w:val="nil"/>
              <w:left w:val="nil"/>
              <w:bottom w:val="single" w:sz="8" w:space="0" w:color="000000"/>
              <w:right w:val="single" w:sz="8" w:space="0" w:color="000000"/>
            </w:tcBorders>
            <w:shd w:val="clear" w:color="auto" w:fill="auto"/>
            <w:vAlign w:val="center"/>
          </w:tcPr>
          <w:p w14:paraId="4EEFD3B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22,67%</w:t>
            </w:r>
          </w:p>
        </w:tc>
        <w:tc>
          <w:tcPr>
            <w:tcW w:w="730" w:type="pct"/>
            <w:tcBorders>
              <w:top w:val="nil"/>
              <w:left w:val="nil"/>
              <w:bottom w:val="single" w:sz="8" w:space="0" w:color="000000"/>
              <w:right w:val="single" w:sz="8" w:space="0" w:color="000000"/>
            </w:tcBorders>
            <w:shd w:val="clear" w:color="auto" w:fill="auto"/>
            <w:vAlign w:val="center"/>
          </w:tcPr>
          <w:p w14:paraId="619A6A7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33,60%</w:t>
            </w:r>
          </w:p>
        </w:tc>
        <w:tc>
          <w:tcPr>
            <w:tcW w:w="730" w:type="pct"/>
            <w:tcBorders>
              <w:top w:val="nil"/>
              <w:left w:val="nil"/>
              <w:bottom w:val="single" w:sz="8" w:space="0" w:color="000000"/>
              <w:right w:val="single" w:sz="8" w:space="0" w:color="000000"/>
            </w:tcBorders>
            <w:shd w:val="clear" w:color="auto" w:fill="auto"/>
            <w:vAlign w:val="center"/>
          </w:tcPr>
          <w:p w14:paraId="7BF29C7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43,73%</w:t>
            </w:r>
          </w:p>
        </w:tc>
        <w:tc>
          <w:tcPr>
            <w:tcW w:w="788" w:type="pct"/>
            <w:tcBorders>
              <w:top w:val="nil"/>
              <w:left w:val="nil"/>
              <w:bottom w:val="single" w:sz="8" w:space="0" w:color="000000"/>
              <w:right w:val="single" w:sz="8" w:space="0" w:color="000000"/>
            </w:tcBorders>
            <w:shd w:val="clear" w:color="auto" w:fill="auto"/>
            <w:vAlign w:val="center"/>
          </w:tcPr>
          <w:p w14:paraId="256A31A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760020E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30" w:type="pct"/>
            <w:tcBorders>
              <w:top w:val="nil"/>
              <w:left w:val="single" w:sz="4" w:space="0" w:color="000000"/>
              <w:bottom w:val="single" w:sz="4" w:space="0" w:color="000000"/>
              <w:right w:val="nil"/>
            </w:tcBorders>
            <w:shd w:val="clear" w:color="auto" w:fill="auto"/>
            <w:vAlign w:val="center"/>
          </w:tcPr>
          <w:p w14:paraId="7DFADEB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bl>
    <w:p w14:paraId="7E662E3B" w14:textId="77777777" w:rsidR="00930D82" w:rsidRPr="00F9587A" w:rsidRDefault="00930D82"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pelos autores com base na pesquisa.</w:t>
      </w:r>
    </w:p>
    <w:p w14:paraId="2F17A495" w14:textId="77777777" w:rsidR="00930D82" w:rsidRDefault="00930D82" w:rsidP="00AD5592">
      <w:pPr>
        <w:widowControl w:val="0"/>
        <w:pBdr>
          <w:top w:val="nil"/>
          <w:left w:val="nil"/>
          <w:bottom w:val="nil"/>
          <w:right w:val="nil"/>
          <w:between w:val="nil"/>
        </w:pBdr>
        <w:jc w:val="both"/>
        <w:rPr>
          <w:rFonts w:ascii="Times New Roman" w:eastAsia="Times New Roman" w:hAnsi="Times New Roman" w:cs="Times New Roman"/>
        </w:rPr>
      </w:pPr>
    </w:p>
    <w:p w14:paraId="4AE09492" w14:textId="3108865E"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lastRenderedPageBreak/>
        <w:tab/>
        <w:t>Os dados do município de Formigueiro mostram que a fonte de recurso mais utilizada para a abertura dos créditos adicionais é anulação de dotação, com exceção dos exercícios financeiros de 2014 e 2016, onde o excesso de arrecadação foi a superior. A anulação de dotação representou 36,00% dos créditos adicionais abertos em 2014, 39,34% em 2015, 38,46% em 2016, 47,10% em 2017 e 43,73% em 2018.</w:t>
      </w:r>
    </w:p>
    <w:p w14:paraId="24B086BF" w14:textId="626FDCC1"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Quanto às demais fontes, percebe-se que os valores que tiveram como fonte de recurso o excesso de arrecadação também foram bastante elevados, representando 45,06% em 2014, 33,78% em 2015, 47,79% em 2016, 36,12% em 2017 e 33,60% em 2018, enquanto o superávit financeiro representou um mínimo de 13,75% (2016) e um máximo de 26,87% (2015) no período. No tocante às operações de crédito, não houve ocorrência no período de 2014 a 2018, enquanto outras fontes representaram 2,84% em 2014 e nos demais exercícios financeiros não </w:t>
      </w:r>
      <w:r w:rsidR="00FE3C0F" w:rsidRPr="00F05EF7">
        <w:rPr>
          <w:rFonts w:ascii="Times New Roman" w:eastAsia="Times New Roman" w:hAnsi="Times New Roman" w:cs="Times New Roman"/>
        </w:rPr>
        <w:t>foi observada</w:t>
      </w:r>
      <w:r w:rsidRPr="00F05EF7">
        <w:rPr>
          <w:rFonts w:ascii="Times New Roman" w:eastAsia="Times New Roman" w:hAnsi="Times New Roman" w:cs="Times New Roman"/>
        </w:rPr>
        <w:t xml:space="preserve"> ocorrência.</w:t>
      </w:r>
    </w:p>
    <w:p w14:paraId="232E21D5" w14:textId="50971DB8" w:rsidR="00821527" w:rsidRDefault="006523F4" w:rsidP="00AD5592">
      <w:pPr>
        <w:widowControl w:val="0"/>
        <w:jc w:val="both"/>
        <w:rPr>
          <w:rFonts w:ascii="Times New Roman" w:eastAsia="Times New Roman" w:hAnsi="Times New Roman" w:cs="Times New Roman"/>
        </w:rPr>
      </w:pPr>
      <w:r w:rsidRPr="00F05EF7">
        <w:rPr>
          <w:rFonts w:ascii="Times New Roman" w:eastAsia="Times New Roman" w:hAnsi="Times New Roman" w:cs="Times New Roman"/>
        </w:rPr>
        <w:tab/>
        <w:t>A</w:t>
      </w:r>
      <w:r w:rsidR="00930D82">
        <w:rPr>
          <w:rFonts w:ascii="Times New Roman" w:eastAsia="Times New Roman" w:hAnsi="Times New Roman" w:cs="Times New Roman"/>
        </w:rPr>
        <w:t xml:space="preserve"> T</w:t>
      </w:r>
      <w:r w:rsidR="0010504B" w:rsidRPr="00F05EF7">
        <w:rPr>
          <w:rFonts w:ascii="Times New Roman" w:eastAsia="Times New Roman" w:hAnsi="Times New Roman" w:cs="Times New Roman"/>
        </w:rPr>
        <w:t>abela</w:t>
      </w:r>
      <w:r w:rsidRPr="00F05EF7">
        <w:rPr>
          <w:rFonts w:ascii="Times New Roman" w:eastAsia="Times New Roman" w:hAnsi="Times New Roman" w:cs="Times New Roman"/>
        </w:rPr>
        <w:t xml:space="preserve"> </w:t>
      </w:r>
      <w:r w:rsidR="00051C18" w:rsidRPr="00F05EF7">
        <w:rPr>
          <w:rFonts w:ascii="Times New Roman" w:eastAsia="Times New Roman" w:hAnsi="Times New Roman" w:cs="Times New Roman"/>
        </w:rPr>
        <w:t>6</w:t>
      </w:r>
      <w:r w:rsidRPr="00F05EF7">
        <w:rPr>
          <w:rFonts w:ascii="Times New Roman" w:eastAsia="Times New Roman" w:hAnsi="Times New Roman" w:cs="Times New Roman"/>
        </w:rPr>
        <w:t xml:space="preserve"> mostra</w:t>
      </w:r>
      <w:r w:rsidR="0010504B" w:rsidRPr="00F05EF7">
        <w:rPr>
          <w:rFonts w:ascii="Times New Roman" w:eastAsia="Times New Roman" w:hAnsi="Times New Roman" w:cs="Times New Roman"/>
        </w:rPr>
        <w:t xml:space="preserve"> fontes de recurso utilizadas para abertura de créditos adicionais em valores </w:t>
      </w:r>
      <w:r w:rsidR="00584782" w:rsidRPr="00F05EF7">
        <w:rPr>
          <w:rFonts w:ascii="Times New Roman" w:eastAsia="Times New Roman" w:hAnsi="Times New Roman" w:cs="Times New Roman"/>
        </w:rPr>
        <w:t>percentuais</w:t>
      </w:r>
      <w:r w:rsidR="0010504B" w:rsidRPr="00F05EF7">
        <w:rPr>
          <w:rFonts w:ascii="Times New Roman" w:eastAsia="Times New Roman" w:hAnsi="Times New Roman" w:cs="Times New Roman"/>
        </w:rPr>
        <w:t xml:space="preserve">, no período de 2014 a 2018, do município de </w:t>
      </w:r>
      <w:proofErr w:type="spellStart"/>
      <w:r w:rsidR="0010504B" w:rsidRPr="00F05EF7">
        <w:rPr>
          <w:rFonts w:ascii="Times New Roman" w:eastAsia="Times New Roman" w:hAnsi="Times New Roman" w:cs="Times New Roman"/>
        </w:rPr>
        <w:t>Ivorá</w:t>
      </w:r>
      <w:proofErr w:type="spellEnd"/>
      <w:r w:rsidR="0010504B" w:rsidRPr="00F05EF7">
        <w:rPr>
          <w:rFonts w:ascii="Times New Roman" w:eastAsia="Times New Roman" w:hAnsi="Times New Roman" w:cs="Times New Roman"/>
        </w:rPr>
        <w:t>.</w:t>
      </w:r>
    </w:p>
    <w:p w14:paraId="505C0411" w14:textId="77777777" w:rsidR="00930D82" w:rsidRPr="00F05EF7" w:rsidRDefault="00930D82" w:rsidP="00AD5592">
      <w:pPr>
        <w:widowControl w:val="0"/>
        <w:jc w:val="both"/>
        <w:rPr>
          <w:rFonts w:ascii="Times New Roman" w:eastAsia="Times New Roman" w:hAnsi="Times New Roman" w:cs="Times New Roman"/>
        </w:rPr>
      </w:pPr>
    </w:p>
    <w:p w14:paraId="25112A12" w14:textId="0B2501AB"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051C18" w:rsidRPr="00AF0520">
        <w:rPr>
          <w:rFonts w:ascii="Times New Roman" w:eastAsia="Times New Roman" w:hAnsi="Times New Roman" w:cs="Times New Roman"/>
          <w:b/>
          <w:bCs/>
        </w:rPr>
        <w:t>6</w:t>
      </w:r>
      <w:r w:rsidRPr="00AF0520">
        <w:rPr>
          <w:rFonts w:ascii="Times New Roman" w:eastAsia="Times New Roman" w:hAnsi="Times New Roman" w:cs="Times New Roman"/>
          <w:b/>
          <w:bCs/>
        </w:rPr>
        <w:t xml:space="preserve"> – Fontes dos créditos adicionais de </w:t>
      </w:r>
      <w:proofErr w:type="spellStart"/>
      <w:r w:rsidRPr="00AF0520">
        <w:rPr>
          <w:rFonts w:ascii="Times New Roman" w:eastAsia="Times New Roman" w:hAnsi="Times New Roman" w:cs="Times New Roman"/>
          <w:b/>
          <w:bCs/>
        </w:rPr>
        <w:t>Ivorá</w:t>
      </w:r>
      <w:proofErr w:type="spellEnd"/>
      <w:r w:rsidRPr="00AF0520">
        <w:rPr>
          <w:rFonts w:ascii="Times New Roman" w:eastAsia="Times New Roman" w:hAnsi="Times New Roman" w:cs="Times New Roman"/>
          <w:b/>
          <w:bCs/>
        </w:rPr>
        <w:t>, em percentual</w:t>
      </w:r>
    </w:p>
    <w:tbl>
      <w:tblPr>
        <w:tblStyle w:val="afb"/>
        <w:tblW w:w="5000" w:type="pct"/>
        <w:jc w:val="right"/>
        <w:tblInd w:w="0" w:type="dxa"/>
        <w:tblLook w:val="0400" w:firstRow="0" w:lastRow="0" w:firstColumn="0" w:lastColumn="0" w:noHBand="0" w:noVBand="1"/>
      </w:tblPr>
      <w:tblGrid>
        <w:gridCol w:w="1230"/>
        <w:gridCol w:w="1326"/>
        <w:gridCol w:w="1283"/>
        <w:gridCol w:w="1308"/>
        <w:gridCol w:w="1401"/>
        <w:gridCol w:w="1297"/>
        <w:gridCol w:w="1226"/>
      </w:tblGrid>
      <w:tr w:rsidR="00F05EF7" w:rsidRPr="00F05EF7" w14:paraId="10722E0C" w14:textId="77777777" w:rsidTr="00930D82">
        <w:trPr>
          <w:trHeight w:val="240"/>
          <w:jc w:val="right"/>
        </w:trPr>
        <w:tc>
          <w:tcPr>
            <w:tcW w:w="678" w:type="pct"/>
            <w:vMerge w:val="restart"/>
            <w:tcBorders>
              <w:top w:val="single" w:sz="8" w:space="0" w:color="000000"/>
              <w:left w:val="nil"/>
              <w:bottom w:val="single" w:sz="8" w:space="0" w:color="000000"/>
              <w:right w:val="single" w:sz="8" w:space="0" w:color="000000"/>
            </w:tcBorders>
            <w:shd w:val="clear" w:color="auto" w:fill="auto"/>
            <w:vAlign w:val="center"/>
          </w:tcPr>
          <w:p w14:paraId="1E87AD90"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73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61A298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Superávit financeiro</w:t>
            </w:r>
          </w:p>
        </w:tc>
        <w:tc>
          <w:tcPr>
            <w:tcW w:w="70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B907E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Excesso de arrecadação</w:t>
            </w:r>
          </w:p>
        </w:tc>
        <w:tc>
          <w:tcPr>
            <w:tcW w:w="7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71D2B0"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Anulação de dotação</w:t>
            </w:r>
          </w:p>
        </w:tc>
        <w:tc>
          <w:tcPr>
            <w:tcW w:w="77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AC574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Operação de crédito</w:t>
            </w:r>
          </w:p>
        </w:tc>
        <w:tc>
          <w:tcPr>
            <w:tcW w:w="715" w:type="pct"/>
            <w:vMerge w:val="restart"/>
            <w:tcBorders>
              <w:top w:val="single" w:sz="8" w:space="0" w:color="000000"/>
              <w:left w:val="single" w:sz="8" w:space="0" w:color="000000"/>
              <w:bottom w:val="single" w:sz="8" w:space="0" w:color="000000"/>
              <w:right w:val="nil"/>
            </w:tcBorders>
            <w:shd w:val="clear" w:color="auto" w:fill="auto"/>
            <w:vAlign w:val="center"/>
          </w:tcPr>
          <w:p w14:paraId="649CC7C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677" w:type="pct"/>
            <w:vMerge w:val="restart"/>
            <w:tcBorders>
              <w:top w:val="single" w:sz="8" w:space="0" w:color="000000"/>
              <w:left w:val="single" w:sz="8" w:space="0" w:color="000000"/>
              <w:bottom w:val="nil"/>
              <w:right w:val="nil"/>
            </w:tcBorders>
            <w:shd w:val="clear" w:color="auto" w:fill="auto"/>
            <w:vAlign w:val="center"/>
          </w:tcPr>
          <w:p w14:paraId="6DA93C10"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0A575F81" w14:textId="77777777" w:rsidTr="00930D82">
        <w:trPr>
          <w:trHeight w:val="264"/>
          <w:jc w:val="right"/>
        </w:trPr>
        <w:tc>
          <w:tcPr>
            <w:tcW w:w="678" w:type="pct"/>
            <w:vMerge/>
            <w:tcBorders>
              <w:top w:val="single" w:sz="8" w:space="0" w:color="000000"/>
              <w:left w:val="nil"/>
              <w:bottom w:val="single" w:sz="8" w:space="0" w:color="000000"/>
              <w:right w:val="single" w:sz="8" w:space="0" w:color="000000"/>
            </w:tcBorders>
            <w:shd w:val="clear" w:color="auto" w:fill="auto"/>
            <w:vAlign w:val="center"/>
          </w:tcPr>
          <w:p w14:paraId="075D3C22"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D8998E"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0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878EB6"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2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7AC9D0"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7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9D0769"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15" w:type="pct"/>
            <w:vMerge/>
            <w:tcBorders>
              <w:top w:val="single" w:sz="8" w:space="0" w:color="000000"/>
              <w:left w:val="single" w:sz="8" w:space="0" w:color="000000"/>
              <w:bottom w:val="single" w:sz="8" w:space="0" w:color="000000"/>
              <w:right w:val="nil"/>
            </w:tcBorders>
            <w:shd w:val="clear" w:color="auto" w:fill="auto"/>
            <w:vAlign w:val="center"/>
          </w:tcPr>
          <w:p w14:paraId="5131E843"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77" w:type="pct"/>
            <w:vMerge/>
            <w:tcBorders>
              <w:top w:val="single" w:sz="8" w:space="0" w:color="000000"/>
              <w:left w:val="single" w:sz="8" w:space="0" w:color="000000"/>
              <w:bottom w:val="nil"/>
              <w:right w:val="nil"/>
            </w:tcBorders>
            <w:shd w:val="clear" w:color="auto" w:fill="auto"/>
            <w:vAlign w:val="center"/>
          </w:tcPr>
          <w:p w14:paraId="02A8371F"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r>
      <w:tr w:rsidR="00F05EF7" w:rsidRPr="00F05EF7" w14:paraId="5DA552DB" w14:textId="77777777" w:rsidTr="00930D82">
        <w:trPr>
          <w:trHeight w:val="260"/>
          <w:jc w:val="right"/>
        </w:trPr>
        <w:tc>
          <w:tcPr>
            <w:tcW w:w="678" w:type="pct"/>
            <w:tcBorders>
              <w:top w:val="nil"/>
              <w:left w:val="nil"/>
              <w:bottom w:val="single" w:sz="8" w:space="0" w:color="000000"/>
              <w:right w:val="single" w:sz="8" w:space="0" w:color="000000"/>
            </w:tcBorders>
            <w:shd w:val="clear" w:color="auto" w:fill="auto"/>
            <w:vAlign w:val="center"/>
          </w:tcPr>
          <w:p w14:paraId="54F7970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731" w:type="pct"/>
            <w:tcBorders>
              <w:top w:val="nil"/>
              <w:left w:val="nil"/>
              <w:bottom w:val="single" w:sz="8" w:space="0" w:color="000000"/>
              <w:right w:val="single" w:sz="8" w:space="0" w:color="000000"/>
            </w:tcBorders>
            <w:shd w:val="clear" w:color="auto" w:fill="auto"/>
            <w:vAlign w:val="center"/>
          </w:tcPr>
          <w:p w14:paraId="3969DD1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13,78%</w:t>
            </w:r>
          </w:p>
        </w:tc>
        <w:tc>
          <w:tcPr>
            <w:tcW w:w="707" w:type="pct"/>
            <w:tcBorders>
              <w:top w:val="nil"/>
              <w:left w:val="nil"/>
              <w:bottom w:val="single" w:sz="8" w:space="0" w:color="000000"/>
              <w:right w:val="single" w:sz="8" w:space="0" w:color="000000"/>
            </w:tcBorders>
            <w:shd w:val="clear" w:color="auto" w:fill="auto"/>
            <w:vAlign w:val="center"/>
          </w:tcPr>
          <w:p w14:paraId="2D53D26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4,46%</w:t>
            </w:r>
          </w:p>
        </w:tc>
        <w:tc>
          <w:tcPr>
            <w:tcW w:w="721" w:type="pct"/>
            <w:tcBorders>
              <w:top w:val="nil"/>
              <w:left w:val="nil"/>
              <w:bottom w:val="single" w:sz="8" w:space="0" w:color="000000"/>
              <w:right w:val="single" w:sz="8" w:space="0" w:color="000000"/>
            </w:tcBorders>
            <w:shd w:val="clear" w:color="auto" w:fill="auto"/>
            <w:vAlign w:val="center"/>
          </w:tcPr>
          <w:p w14:paraId="03BBE72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64,88%</w:t>
            </w:r>
          </w:p>
        </w:tc>
        <w:tc>
          <w:tcPr>
            <w:tcW w:w="772" w:type="pct"/>
            <w:tcBorders>
              <w:top w:val="nil"/>
              <w:left w:val="nil"/>
              <w:bottom w:val="single" w:sz="8" w:space="0" w:color="000000"/>
              <w:right w:val="single" w:sz="8" w:space="0" w:color="000000"/>
            </w:tcBorders>
            <w:shd w:val="clear" w:color="auto" w:fill="auto"/>
            <w:vAlign w:val="center"/>
          </w:tcPr>
          <w:p w14:paraId="5AA08BC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5" w:type="pct"/>
            <w:tcBorders>
              <w:top w:val="nil"/>
              <w:left w:val="nil"/>
              <w:bottom w:val="single" w:sz="8" w:space="0" w:color="000000"/>
              <w:right w:val="nil"/>
            </w:tcBorders>
            <w:shd w:val="clear" w:color="auto" w:fill="auto"/>
            <w:vAlign w:val="center"/>
          </w:tcPr>
          <w:p w14:paraId="5C202B3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16,88%</w:t>
            </w:r>
          </w:p>
        </w:tc>
        <w:tc>
          <w:tcPr>
            <w:tcW w:w="677" w:type="pct"/>
            <w:tcBorders>
              <w:top w:val="single" w:sz="4" w:space="0" w:color="000000"/>
              <w:left w:val="single" w:sz="4" w:space="0" w:color="000000"/>
              <w:bottom w:val="single" w:sz="4" w:space="0" w:color="000000"/>
              <w:right w:val="nil"/>
            </w:tcBorders>
            <w:shd w:val="clear" w:color="auto" w:fill="auto"/>
            <w:vAlign w:val="center"/>
          </w:tcPr>
          <w:p w14:paraId="59278EF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091FA0C7" w14:textId="77777777" w:rsidTr="00930D82">
        <w:trPr>
          <w:trHeight w:val="260"/>
          <w:jc w:val="right"/>
        </w:trPr>
        <w:tc>
          <w:tcPr>
            <w:tcW w:w="678" w:type="pct"/>
            <w:tcBorders>
              <w:top w:val="nil"/>
              <w:left w:val="nil"/>
              <w:bottom w:val="single" w:sz="8" w:space="0" w:color="000000"/>
              <w:right w:val="single" w:sz="8" w:space="0" w:color="000000"/>
            </w:tcBorders>
            <w:shd w:val="clear" w:color="auto" w:fill="auto"/>
            <w:vAlign w:val="center"/>
          </w:tcPr>
          <w:p w14:paraId="2A68785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731" w:type="pct"/>
            <w:tcBorders>
              <w:top w:val="nil"/>
              <w:left w:val="nil"/>
              <w:bottom w:val="single" w:sz="8" w:space="0" w:color="000000"/>
              <w:right w:val="single" w:sz="8" w:space="0" w:color="000000"/>
            </w:tcBorders>
            <w:shd w:val="clear" w:color="auto" w:fill="auto"/>
            <w:vAlign w:val="center"/>
          </w:tcPr>
          <w:p w14:paraId="04DCB6B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22,01%</w:t>
            </w:r>
          </w:p>
        </w:tc>
        <w:tc>
          <w:tcPr>
            <w:tcW w:w="707" w:type="pct"/>
            <w:tcBorders>
              <w:top w:val="nil"/>
              <w:left w:val="nil"/>
              <w:bottom w:val="single" w:sz="8" w:space="0" w:color="000000"/>
              <w:right w:val="single" w:sz="8" w:space="0" w:color="000000"/>
            </w:tcBorders>
            <w:shd w:val="clear" w:color="auto" w:fill="auto"/>
            <w:vAlign w:val="center"/>
          </w:tcPr>
          <w:p w14:paraId="225929B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3,57%</w:t>
            </w:r>
          </w:p>
        </w:tc>
        <w:tc>
          <w:tcPr>
            <w:tcW w:w="721" w:type="pct"/>
            <w:tcBorders>
              <w:top w:val="nil"/>
              <w:left w:val="nil"/>
              <w:bottom w:val="single" w:sz="8" w:space="0" w:color="000000"/>
              <w:right w:val="single" w:sz="8" w:space="0" w:color="000000"/>
            </w:tcBorders>
            <w:shd w:val="clear" w:color="auto" w:fill="auto"/>
            <w:vAlign w:val="center"/>
          </w:tcPr>
          <w:p w14:paraId="51A16E8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68,74%</w:t>
            </w:r>
          </w:p>
        </w:tc>
        <w:tc>
          <w:tcPr>
            <w:tcW w:w="772" w:type="pct"/>
            <w:tcBorders>
              <w:top w:val="nil"/>
              <w:left w:val="nil"/>
              <w:bottom w:val="single" w:sz="8" w:space="0" w:color="000000"/>
              <w:right w:val="single" w:sz="8" w:space="0" w:color="000000"/>
            </w:tcBorders>
            <w:shd w:val="clear" w:color="auto" w:fill="auto"/>
            <w:vAlign w:val="center"/>
          </w:tcPr>
          <w:p w14:paraId="3919005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5" w:type="pct"/>
            <w:tcBorders>
              <w:top w:val="nil"/>
              <w:left w:val="nil"/>
              <w:bottom w:val="single" w:sz="8" w:space="0" w:color="000000"/>
              <w:right w:val="nil"/>
            </w:tcBorders>
            <w:shd w:val="clear" w:color="auto" w:fill="auto"/>
            <w:vAlign w:val="center"/>
          </w:tcPr>
          <w:p w14:paraId="0F2FBDC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5,68%</w:t>
            </w:r>
          </w:p>
        </w:tc>
        <w:tc>
          <w:tcPr>
            <w:tcW w:w="677" w:type="pct"/>
            <w:tcBorders>
              <w:top w:val="nil"/>
              <w:left w:val="single" w:sz="4" w:space="0" w:color="000000"/>
              <w:bottom w:val="single" w:sz="4" w:space="0" w:color="000000"/>
              <w:right w:val="nil"/>
            </w:tcBorders>
            <w:shd w:val="clear" w:color="auto" w:fill="auto"/>
            <w:vAlign w:val="center"/>
          </w:tcPr>
          <w:p w14:paraId="3590A53B"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0DC1395F" w14:textId="77777777" w:rsidTr="00930D82">
        <w:trPr>
          <w:trHeight w:val="260"/>
          <w:jc w:val="right"/>
        </w:trPr>
        <w:tc>
          <w:tcPr>
            <w:tcW w:w="678" w:type="pct"/>
            <w:tcBorders>
              <w:top w:val="nil"/>
              <w:left w:val="nil"/>
              <w:bottom w:val="single" w:sz="8" w:space="0" w:color="000000"/>
              <w:right w:val="single" w:sz="8" w:space="0" w:color="000000"/>
            </w:tcBorders>
            <w:shd w:val="clear" w:color="auto" w:fill="auto"/>
            <w:vAlign w:val="center"/>
          </w:tcPr>
          <w:p w14:paraId="1D67ABB1"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731" w:type="pct"/>
            <w:tcBorders>
              <w:top w:val="nil"/>
              <w:left w:val="nil"/>
              <w:bottom w:val="single" w:sz="8" w:space="0" w:color="000000"/>
              <w:right w:val="single" w:sz="8" w:space="0" w:color="000000"/>
            </w:tcBorders>
            <w:shd w:val="clear" w:color="auto" w:fill="auto"/>
            <w:vAlign w:val="center"/>
          </w:tcPr>
          <w:p w14:paraId="2D325E0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17,78%</w:t>
            </w:r>
          </w:p>
        </w:tc>
        <w:tc>
          <w:tcPr>
            <w:tcW w:w="707" w:type="pct"/>
            <w:tcBorders>
              <w:top w:val="nil"/>
              <w:left w:val="nil"/>
              <w:bottom w:val="single" w:sz="8" w:space="0" w:color="000000"/>
              <w:right w:val="single" w:sz="8" w:space="0" w:color="000000"/>
            </w:tcBorders>
            <w:shd w:val="clear" w:color="auto" w:fill="auto"/>
            <w:vAlign w:val="center"/>
          </w:tcPr>
          <w:p w14:paraId="004DD2E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0,51%</w:t>
            </w:r>
          </w:p>
        </w:tc>
        <w:tc>
          <w:tcPr>
            <w:tcW w:w="721" w:type="pct"/>
            <w:tcBorders>
              <w:top w:val="nil"/>
              <w:left w:val="nil"/>
              <w:bottom w:val="single" w:sz="8" w:space="0" w:color="000000"/>
              <w:right w:val="single" w:sz="8" w:space="0" w:color="000000"/>
            </w:tcBorders>
            <w:shd w:val="clear" w:color="auto" w:fill="auto"/>
            <w:vAlign w:val="center"/>
          </w:tcPr>
          <w:p w14:paraId="44A1207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75,09%</w:t>
            </w:r>
          </w:p>
        </w:tc>
        <w:tc>
          <w:tcPr>
            <w:tcW w:w="772" w:type="pct"/>
            <w:tcBorders>
              <w:top w:val="nil"/>
              <w:left w:val="nil"/>
              <w:bottom w:val="single" w:sz="8" w:space="0" w:color="000000"/>
              <w:right w:val="single" w:sz="8" w:space="0" w:color="000000"/>
            </w:tcBorders>
            <w:shd w:val="clear" w:color="auto" w:fill="auto"/>
            <w:vAlign w:val="center"/>
          </w:tcPr>
          <w:p w14:paraId="74675DA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5" w:type="pct"/>
            <w:tcBorders>
              <w:top w:val="nil"/>
              <w:left w:val="nil"/>
              <w:bottom w:val="single" w:sz="8" w:space="0" w:color="000000"/>
              <w:right w:val="nil"/>
            </w:tcBorders>
            <w:shd w:val="clear" w:color="auto" w:fill="auto"/>
            <w:vAlign w:val="center"/>
          </w:tcPr>
          <w:p w14:paraId="3C81CC6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6,62%</w:t>
            </w:r>
          </w:p>
        </w:tc>
        <w:tc>
          <w:tcPr>
            <w:tcW w:w="677" w:type="pct"/>
            <w:tcBorders>
              <w:top w:val="nil"/>
              <w:left w:val="single" w:sz="4" w:space="0" w:color="000000"/>
              <w:bottom w:val="single" w:sz="4" w:space="0" w:color="000000"/>
              <w:right w:val="nil"/>
            </w:tcBorders>
            <w:shd w:val="clear" w:color="auto" w:fill="auto"/>
            <w:vAlign w:val="center"/>
          </w:tcPr>
          <w:p w14:paraId="5A8A7BE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6E3246EF" w14:textId="77777777" w:rsidTr="00930D82">
        <w:trPr>
          <w:trHeight w:val="260"/>
          <w:jc w:val="right"/>
        </w:trPr>
        <w:tc>
          <w:tcPr>
            <w:tcW w:w="678" w:type="pct"/>
            <w:tcBorders>
              <w:top w:val="nil"/>
              <w:left w:val="nil"/>
              <w:bottom w:val="single" w:sz="8" w:space="0" w:color="000000"/>
              <w:right w:val="single" w:sz="8" w:space="0" w:color="000000"/>
            </w:tcBorders>
            <w:shd w:val="clear" w:color="auto" w:fill="auto"/>
            <w:vAlign w:val="center"/>
          </w:tcPr>
          <w:p w14:paraId="48C2B82B"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731" w:type="pct"/>
            <w:tcBorders>
              <w:top w:val="nil"/>
              <w:left w:val="nil"/>
              <w:bottom w:val="single" w:sz="8" w:space="0" w:color="000000"/>
              <w:right w:val="single" w:sz="8" w:space="0" w:color="000000"/>
            </w:tcBorders>
            <w:shd w:val="clear" w:color="auto" w:fill="auto"/>
            <w:vAlign w:val="center"/>
          </w:tcPr>
          <w:p w14:paraId="71202E7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23,63%</w:t>
            </w:r>
          </w:p>
        </w:tc>
        <w:tc>
          <w:tcPr>
            <w:tcW w:w="707" w:type="pct"/>
            <w:tcBorders>
              <w:top w:val="nil"/>
              <w:left w:val="nil"/>
              <w:bottom w:val="single" w:sz="8" w:space="0" w:color="000000"/>
              <w:right w:val="single" w:sz="8" w:space="0" w:color="000000"/>
            </w:tcBorders>
            <w:shd w:val="clear" w:color="auto" w:fill="auto"/>
            <w:vAlign w:val="center"/>
          </w:tcPr>
          <w:p w14:paraId="7AA3C48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1,38%</w:t>
            </w:r>
          </w:p>
        </w:tc>
        <w:tc>
          <w:tcPr>
            <w:tcW w:w="721" w:type="pct"/>
            <w:tcBorders>
              <w:top w:val="nil"/>
              <w:left w:val="nil"/>
              <w:bottom w:val="single" w:sz="8" w:space="0" w:color="000000"/>
              <w:right w:val="single" w:sz="8" w:space="0" w:color="000000"/>
            </w:tcBorders>
            <w:shd w:val="clear" w:color="auto" w:fill="auto"/>
            <w:vAlign w:val="center"/>
          </w:tcPr>
          <w:p w14:paraId="77B7508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68,42%</w:t>
            </w:r>
          </w:p>
        </w:tc>
        <w:tc>
          <w:tcPr>
            <w:tcW w:w="772" w:type="pct"/>
            <w:tcBorders>
              <w:top w:val="nil"/>
              <w:left w:val="nil"/>
              <w:bottom w:val="single" w:sz="8" w:space="0" w:color="000000"/>
              <w:right w:val="single" w:sz="8" w:space="0" w:color="000000"/>
            </w:tcBorders>
            <w:shd w:val="clear" w:color="auto" w:fill="auto"/>
            <w:vAlign w:val="center"/>
          </w:tcPr>
          <w:p w14:paraId="4E990AA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5" w:type="pct"/>
            <w:tcBorders>
              <w:top w:val="nil"/>
              <w:left w:val="nil"/>
              <w:bottom w:val="single" w:sz="8" w:space="0" w:color="000000"/>
              <w:right w:val="nil"/>
            </w:tcBorders>
            <w:shd w:val="clear" w:color="auto" w:fill="auto"/>
            <w:vAlign w:val="center"/>
          </w:tcPr>
          <w:p w14:paraId="603AB11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6,57%</w:t>
            </w:r>
          </w:p>
        </w:tc>
        <w:tc>
          <w:tcPr>
            <w:tcW w:w="677" w:type="pct"/>
            <w:tcBorders>
              <w:top w:val="nil"/>
              <w:left w:val="single" w:sz="4" w:space="0" w:color="000000"/>
              <w:bottom w:val="single" w:sz="4" w:space="0" w:color="000000"/>
              <w:right w:val="nil"/>
            </w:tcBorders>
            <w:shd w:val="clear" w:color="auto" w:fill="auto"/>
            <w:vAlign w:val="center"/>
          </w:tcPr>
          <w:p w14:paraId="46A9767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7E9FFA48" w14:textId="77777777" w:rsidTr="00930D82">
        <w:trPr>
          <w:trHeight w:val="260"/>
          <w:jc w:val="right"/>
        </w:trPr>
        <w:tc>
          <w:tcPr>
            <w:tcW w:w="678" w:type="pct"/>
            <w:tcBorders>
              <w:top w:val="nil"/>
              <w:left w:val="nil"/>
              <w:bottom w:val="single" w:sz="8" w:space="0" w:color="000000"/>
              <w:right w:val="single" w:sz="8" w:space="0" w:color="000000"/>
            </w:tcBorders>
            <w:shd w:val="clear" w:color="auto" w:fill="auto"/>
            <w:vAlign w:val="center"/>
          </w:tcPr>
          <w:p w14:paraId="19D8364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731" w:type="pct"/>
            <w:tcBorders>
              <w:top w:val="nil"/>
              <w:left w:val="nil"/>
              <w:bottom w:val="single" w:sz="8" w:space="0" w:color="000000"/>
              <w:right w:val="single" w:sz="8" w:space="0" w:color="000000"/>
            </w:tcBorders>
            <w:shd w:val="clear" w:color="auto" w:fill="auto"/>
            <w:vAlign w:val="center"/>
          </w:tcPr>
          <w:p w14:paraId="16A6708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21,46%</w:t>
            </w:r>
          </w:p>
        </w:tc>
        <w:tc>
          <w:tcPr>
            <w:tcW w:w="707" w:type="pct"/>
            <w:tcBorders>
              <w:top w:val="nil"/>
              <w:left w:val="nil"/>
              <w:bottom w:val="single" w:sz="8" w:space="0" w:color="000000"/>
              <w:right w:val="single" w:sz="8" w:space="0" w:color="000000"/>
            </w:tcBorders>
            <w:shd w:val="clear" w:color="auto" w:fill="auto"/>
            <w:vAlign w:val="center"/>
          </w:tcPr>
          <w:p w14:paraId="0A368EE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12,96%</w:t>
            </w:r>
          </w:p>
        </w:tc>
        <w:tc>
          <w:tcPr>
            <w:tcW w:w="721" w:type="pct"/>
            <w:tcBorders>
              <w:top w:val="nil"/>
              <w:left w:val="nil"/>
              <w:bottom w:val="single" w:sz="8" w:space="0" w:color="000000"/>
              <w:right w:val="single" w:sz="8" w:space="0" w:color="000000"/>
            </w:tcBorders>
            <w:shd w:val="clear" w:color="auto" w:fill="auto"/>
            <w:vAlign w:val="center"/>
          </w:tcPr>
          <w:p w14:paraId="6A151AC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59,19%</w:t>
            </w:r>
          </w:p>
        </w:tc>
        <w:tc>
          <w:tcPr>
            <w:tcW w:w="772" w:type="pct"/>
            <w:tcBorders>
              <w:top w:val="nil"/>
              <w:left w:val="nil"/>
              <w:bottom w:val="single" w:sz="8" w:space="0" w:color="000000"/>
              <w:right w:val="single" w:sz="8" w:space="0" w:color="000000"/>
            </w:tcBorders>
            <w:shd w:val="clear" w:color="auto" w:fill="auto"/>
            <w:vAlign w:val="center"/>
          </w:tcPr>
          <w:p w14:paraId="46B1C6A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5" w:type="pct"/>
            <w:tcBorders>
              <w:top w:val="nil"/>
              <w:left w:val="nil"/>
              <w:bottom w:val="single" w:sz="8" w:space="0" w:color="000000"/>
              <w:right w:val="nil"/>
            </w:tcBorders>
            <w:shd w:val="clear" w:color="auto" w:fill="auto"/>
            <w:vAlign w:val="center"/>
          </w:tcPr>
          <w:p w14:paraId="2D1E8D2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6,39%</w:t>
            </w:r>
          </w:p>
        </w:tc>
        <w:tc>
          <w:tcPr>
            <w:tcW w:w="677" w:type="pct"/>
            <w:tcBorders>
              <w:top w:val="nil"/>
              <w:left w:val="single" w:sz="4" w:space="0" w:color="000000"/>
              <w:bottom w:val="single" w:sz="4" w:space="0" w:color="000000"/>
              <w:right w:val="nil"/>
            </w:tcBorders>
            <w:shd w:val="clear" w:color="auto" w:fill="auto"/>
            <w:vAlign w:val="center"/>
          </w:tcPr>
          <w:p w14:paraId="081A93A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bl>
    <w:p w14:paraId="7514F36A" w14:textId="77777777" w:rsidR="00930D82" w:rsidRPr="00F9587A" w:rsidRDefault="00930D82"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pelos autores com base na pesquisa.</w:t>
      </w:r>
    </w:p>
    <w:p w14:paraId="6C62E706" w14:textId="77777777" w:rsidR="00930D82" w:rsidRDefault="00930D82" w:rsidP="00AD5592">
      <w:pPr>
        <w:widowControl w:val="0"/>
        <w:pBdr>
          <w:top w:val="nil"/>
          <w:left w:val="nil"/>
          <w:bottom w:val="nil"/>
          <w:right w:val="nil"/>
          <w:between w:val="nil"/>
        </w:pBdr>
        <w:jc w:val="both"/>
        <w:rPr>
          <w:rFonts w:ascii="Times New Roman" w:eastAsia="Times New Roman" w:hAnsi="Times New Roman" w:cs="Times New Roman"/>
        </w:rPr>
      </w:pPr>
    </w:p>
    <w:p w14:paraId="0490B4F2" w14:textId="3FCB1149" w:rsidR="00821527" w:rsidRPr="00F05EF7" w:rsidRDefault="002A06CE"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Os dados da </w:t>
      </w:r>
      <w:r w:rsidR="00350394">
        <w:rPr>
          <w:rFonts w:ascii="Times New Roman" w:eastAsia="Times New Roman" w:hAnsi="Times New Roman" w:cs="Times New Roman"/>
        </w:rPr>
        <w:t>t</w:t>
      </w:r>
      <w:r w:rsidRPr="00F05EF7">
        <w:rPr>
          <w:rFonts w:ascii="Times New Roman" w:eastAsia="Times New Roman" w:hAnsi="Times New Roman" w:cs="Times New Roman"/>
        </w:rPr>
        <w:t xml:space="preserve">abela </w:t>
      </w:r>
      <w:r w:rsidR="0010504B" w:rsidRPr="00F05EF7">
        <w:rPr>
          <w:rFonts w:ascii="Times New Roman" w:eastAsia="Times New Roman" w:hAnsi="Times New Roman" w:cs="Times New Roman"/>
        </w:rPr>
        <w:t xml:space="preserve">mostram que no município de </w:t>
      </w:r>
      <w:proofErr w:type="spellStart"/>
      <w:r w:rsidR="0010504B" w:rsidRPr="00F05EF7">
        <w:rPr>
          <w:rFonts w:ascii="Times New Roman" w:eastAsia="Times New Roman" w:hAnsi="Times New Roman" w:cs="Times New Roman"/>
        </w:rPr>
        <w:t>Ivorá</w:t>
      </w:r>
      <w:proofErr w:type="spellEnd"/>
      <w:r w:rsidR="0010504B" w:rsidRPr="00F05EF7">
        <w:rPr>
          <w:rFonts w:ascii="Times New Roman" w:eastAsia="Times New Roman" w:hAnsi="Times New Roman" w:cs="Times New Roman"/>
        </w:rPr>
        <w:t xml:space="preserve"> a fonte de recurso mais utilizada para a abertura dos créditos adicionais também é a anulação de dotação. Essa fonte de recurso representou 64,88% dos créditos adicionais abertos em 2014, 68,74% em 2015, 75,09% em 2016, 68,42% em 2017 e 59,19% em 2018.</w:t>
      </w:r>
    </w:p>
    <w:p w14:paraId="3E7A4C41" w14:textId="5EC7DE4D"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Quanto às outras fontes, observa-se que os valores movimentados como fonte de recurso</w:t>
      </w:r>
      <w:r w:rsidR="006C21EF" w:rsidRPr="00F05EF7">
        <w:rPr>
          <w:rFonts w:ascii="Times New Roman" w:eastAsia="Times New Roman" w:hAnsi="Times New Roman" w:cs="Times New Roman"/>
        </w:rPr>
        <w:t>,</w:t>
      </w:r>
      <w:r w:rsidRPr="00F05EF7">
        <w:rPr>
          <w:rFonts w:ascii="Times New Roman" w:eastAsia="Times New Roman" w:hAnsi="Times New Roman" w:cs="Times New Roman"/>
        </w:rPr>
        <w:t xml:space="preserve"> </w:t>
      </w:r>
      <w:r w:rsidR="006C21EF" w:rsidRPr="00F05EF7">
        <w:rPr>
          <w:rFonts w:ascii="Times New Roman" w:eastAsia="Times New Roman" w:hAnsi="Times New Roman" w:cs="Times New Roman"/>
        </w:rPr>
        <w:t>o excesso de arrecadação representou</w:t>
      </w:r>
      <w:r w:rsidRPr="00F05EF7">
        <w:rPr>
          <w:rFonts w:ascii="Times New Roman" w:eastAsia="Times New Roman" w:hAnsi="Times New Roman" w:cs="Times New Roman"/>
        </w:rPr>
        <w:t xml:space="preserve"> no mínimo de 0,51% (2016) e no máximo 12,96% (2018) dos créditos adicionais abertos no período, enquanto o superávit financeiro representou um mínimo de 13,78% (2014) e um máximo de 23,63% (2017) no período. No tocante às operações de crédito, não houve ocorrência no período de 2014 a 2018, enquanto outras fontes representaram valores que variam entre 5,68% (2015) e 16,88% (2014).</w:t>
      </w:r>
    </w:p>
    <w:p w14:paraId="74CC371F" w14:textId="1A9A56C9" w:rsidR="00821527" w:rsidRDefault="0057322D" w:rsidP="00AD5592">
      <w:pPr>
        <w:widowControl w:val="0"/>
        <w:jc w:val="both"/>
        <w:rPr>
          <w:rFonts w:ascii="Times New Roman" w:eastAsia="Times New Roman" w:hAnsi="Times New Roman" w:cs="Times New Roman"/>
        </w:rPr>
      </w:pPr>
      <w:r>
        <w:rPr>
          <w:rFonts w:ascii="Times New Roman" w:eastAsia="Times New Roman" w:hAnsi="Times New Roman" w:cs="Times New Roman"/>
        </w:rPr>
        <w:tab/>
      </w:r>
      <w:r w:rsidRPr="006026C8">
        <w:rPr>
          <w:rFonts w:ascii="Times New Roman" w:eastAsia="Times New Roman" w:hAnsi="Times New Roman" w:cs="Times New Roman"/>
        </w:rPr>
        <w:t>A T</w:t>
      </w:r>
      <w:r w:rsidR="0010504B" w:rsidRPr="006026C8">
        <w:rPr>
          <w:rFonts w:ascii="Times New Roman" w:eastAsia="Times New Roman" w:hAnsi="Times New Roman" w:cs="Times New Roman"/>
        </w:rPr>
        <w:t>abela</w:t>
      </w:r>
      <w:r w:rsidR="00E77E23" w:rsidRPr="00F05EF7">
        <w:rPr>
          <w:rFonts w:ascii="Times New Roman" w:eastAsia="Times New Roman" w:hAnsi="Times New Roman" w:cs="Times New Roman"/>
        </w:rPr>
        <w:t xml:space="preserve"> </w:t>
      </w:r>
      <w:r w:rsidR="00051C18" w:rsidRPr="00F05EF7">
        <w:rPr>
          <w:rFonts w:ascii="Times New Roman" w:eastAsia="Times New Roman" w:hAnsi="Times New Roman" w:cs="Times New Roman"/>
        </w:rPr>
        <w:t>7</w:t>
      </w:r>
      <w:r w:rsidR="0010504B" w:rsidRPr="00F05EF7">
        <w:rPr>
          <w:rFonts w:ascii="Times New Roman" w:eastAsia="Times New Roman" w:hAnsi="Times New Roman" w:cs="Times New Roman"/>
        </w:rPr>
        <w:t xml:space="preserve"> expressa as fontes de recurso utilizadas para abertura de</w:t>
      </w:r>
      <w:r w:rsidR="00C458AA" w:rsidRPr="00F05EF7">
        <w:rPr>
          <w:rFonts w:ascii="Times New Roman" w:eastAsia="Times New Roman" w:hAnsi="Times New Roman" w:cs="Times New Roman"/>
        </w:rPr>
        <w:t xml:space="preserve"> créditos adicionais em percentuais</w:t>
      </w:r>
      <w:r w:rsidR="0010504B" w:rsidRPr="00F05EF7">
        <w:rPr>
          <w:rFonts w:ascii="Times New Roman" w:eastAsia="Times New Roman" w:hAnsi="Times New Roman" w:cs="Times New Roman"/>
        </w:rPr>
        <w:t xml:space="preserve">, no período de 2014 a 2018, do município de Restinga </w:t>
      </w:r>
      <w:proofErr w:type="spellStart"/>
      <w:r w:rsidR="0010504B" w:rsidRPr="00F05EF7">
        <w:rPr>
          <w:rFonts w:ascii="Times New Roman" w:eastAsia="Times New Roman" w:hAnsi="Times New Roman" w:cs="Times New Roman"/>
        </w:rPr>
        <w:t>Sêca</w:t>
      </w:r>
      <w:proofErr w:type="spellEnd"/>
      <w:r w:rsidR="0010504B" w:rsidRPr="00F05EF7">
        <w:rPr>
          <w:rFonts w:ascii="Times New Roman" w:eastAsia="Times New Roman" w:hAnsi="Times New Roman" w:cs="Times New Roman"/>
        </w:rPr>
        <w:t>.</w:t>
      </w:r>
    </w:p>
    <w:p w14:paraId="34C3982E" w14:textId="2733A432" w:rsidR="00350394" w:rsidRPr="00F05EF7" w:rsidRDefault="00350394" w:rsidP="00AD5592">
      <w:pPr>
        <w:widowControl w:val="0"/>
        <w:jc w:val="both"/>
        <w:rPr>
          <w:rFonts w:ascii="Times New Roman" w:eastAsia="Times New Roman" w:hAnsi="Times New Roman" w:cs="Times New Roman"/>
        </w:rPr>
      </w:pPr>
    </w:p>
    <w:p w14:paraId="449E334E" w14:textId="7E28C604"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051C18" w:rsidRPr="00AF0520">
        <w:rPr>
          <w:rFonts w:ascii="Times New Roman" w:eastAsia="Times New Roman" w:hAnsi="Times New Roman" w:cs="Times New Roman"/>
          <w:b/>
          <w:bCs/>
        </w:rPr>
        <w:t>7</w:t>
      </w:r>
      <w:r w:rsidRPr="00AF0520">
        <w:rPr>
          <w:rFonts w:ascii="Times New Roman" w:eastAsia="Times New Roman" w:hAnsi="Times New Roman" w:cs="Times New Roman"/>
          <w:b/>
          <w:bCs/>
        </w:rPr>
        <w:t xml:space="preserve"> – Fontes dos créditos adicionais de Restinga </w:t>
      </w:r>
      <w:proofErr w:type="spellStart"/>
      <w:r w:rsidRPr="00AF0520">
        <w:rPr>
          <w:rFonts w:ascii="Times New Roman" w:eastAsia="Times New Roman" w:hAnsi="Times New Roman" w:cs="Times New Roman"/>
          <w:b/>
          <w:bCs/>
        </w:rPr>
        <w:t>Sêca</w:t>
      </w:r>
      <w:proofErr w:type="spellEnd"/>
      <w:r w:rsidRPr="00AF0520">
        <w:rPr>
          <w:rFonts w:ascii="Times New Roman" w:eastAsia="Times New Roman" w:hAnsi="Times New Roman" w:cs="Times New Roman"/>
          <w:b/>
          <w:bCs/>
        </w:rPr>
        <w:t>, em percentual</w:t>
      </w:r>
    </w:p>
    <w:tbl>
      <w:tblPr>
        <w:tblStyle w:val="afd"/>
        <w:tblW w:w="5000" w:type="pct"/>
        <w:jc w:val="right"/>
        <w:tblInd w:w="0" w:type="dxa"/>
        <w:tblLook w:val="0400" w:firstRow="0" w:lastRow="0" w:firstColumn="0" w:lastColumn="0" w:noHBand="0" w:noVBand="1"/>
      </w:tblPr>
      <w:tblGrid>
        <w:gridCol w:w="1227"/>
        <w:gridCol w:w="1156"/>
        <w:gridCol w:w="1301"/>
        <w:gridCol w:w="1301"/>
        <w:gridCol w:w="1341"/>
        <w:gridCol w:w="1444"/>
        <w:gridCol w:w="1301"/>
      </w:tblGrid>
      <w:tr w:rsidR="00F05EF7" w:rsidRPr="00F05EF7" w14:paraId="29F376D5" w14:textId="77777777" w:rsidTr="00930D82">
        <w:trPr>
          <w:trHeight w:val="240"/>
          <w:jc w:val="right"/>
        </w:trPr>
        <w:tc>
          <w:tcPr>
            <w:tcW w:w="677" w:type="pct"/>
            <w:vMerge w:val="restart"/>
            <w:tcBorders>
              <w:top w:val="single" w:sz="8" w:space="0" w:color="000000"/>
              <w:left w:val="nil"/>
              <w:bottom w:val="single" w:sz="8" w:space="0" w:color="000000"/>
              <w:right w:val="single" w:sz="8" w:space="0" w:color="000000"/>
            </w:tcBorders>
            <w:shd w:val="clear" w:color="auto" w:fill="auto"/>
            <w:vAlign w:val="center"/>
          </w:tcPr>
          <w:p w14:paraId="04230D9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63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FCCC33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Superávit financeiro</w:t>
            </w:r>
          </w:p>
        </w:tc>
        <w:tc>
          <w:tcPr>
            <w:tcW w:w="71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6A677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Excesso de arrecadação</w:t>
            </w:r>
          </w:p>
        </w:tc>
        <w:tc>
          <w:tcPr>
            <w:tcW w:w="71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0FAFB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Anulação de dotação</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D60DB9"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Operação de crédito</w:t>
            </w:r>
          </w:p>
        </w:tc>
        <w:tc>
          <w:tcPr>
            <w:tcW w:w="796" w:type="pct"/>
            <w:vMerge w:val="restart"/>
            <w:tcBorders>
              <w:top w:val="single" w:sz="8" w:space="0" w:color="000000"/>
              <w:left w:val="single" w:sz="8" w:space="0" w:color="000000"/>
              <w:bottom w:val="single" w:sz="8" w:space="0" w:color="000000"/>
              <w:right w:val="nil"/>
            </w:tcBorders>
            <w:shd w:val="clear" w:color="auto" w:fill="auto"/>
            <w:vAlign w:val="center"/>
          </w:tcPr>
          <w:p w14:paraId="78D95C3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717" w:type="pct"/>
            <w:vMerge w:val="restart"/>
            <w:tcBorders>
              <w:top w:val="single" w:sz="4" w:space="0" w:color="000000"/>
              <w:left w:val="single" w:sz="4" w:space="0" w:color="000000"/>
              <w:bottom w:val="single" w:sz="4" w:space="0" w:color="000000"/>
              <w:right w:val="nil"/>
            </w:tcBorders>
            <w:shd w:val="clear" w:color="auto" w:fill="auto"/>
            <w:vAlign w:val="center"/>
          </w:tcPr>
          <w:p w14:paraId="45B41E19"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66CC717A" w14:textId="77777777" w:rsidTr="00930D82">
        <w:trPr>
          <w:trHeight w:val="264"/>
          <w:jc w:val="right"/>
        </w:trPr>
        <w:tc>
          <w:tcPr>
            <w:tcW w:w="677" w:type="pct"/>
            <w:vMerge/>
            <w:tcBorders>
              <w:top w:val="single" w:sz="8" w:space="0" w:color="000000"/>
              <w:left w:val="nil"/>
              <w:bottom w:val="single" w:sz="8" w:space="0" w:color="000000"/>
              <w:right w:val="single" w:sz="8" w:space="0" w:color="000000"/>
            </w:tcBorders>
            <w:shd w:val="clear" w:color="auto" w:fill="auto"/>
            <w:vAlign w:val="center"/>
          </w:tcPr>
          <w:p w14:paraId="7C22835F"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3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16C3FA"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1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694063"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1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D7E563"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87F57D"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96" w:type="pct"/>
            <w:vMerge/>
            <w:tcBorders>
              <w:top w:val="single" w:sz="8" w:space="0" w:color="000000"/>
              <w:left w:val="single" w:sz="8" w:space="0" w:color="000000"/>
              <w:bottom w:val="single" w:sz="8" w:space="0" w:color="000000"/>
              <w:right w:val="nil"/>
            </w:tcBorders>
            <w:shd w:val="clear" w:color="auto" w:fill="auto"/>
            <w:vAlign w:val="center"/>
          </w:tcPr>
          <w:p w14:paraId="32E16CE4"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17" w:type="pct"/>
            <w:vMerge/>
            <w:tcBorders>
              <w:top w:val="single" w:sz="4" w:space="0" w:color="000000"/>
              <w:left w:val="single" w:sz="4" w:space="0" w:color="000000"/>
              <w:bottom w:val="single" w:sz="4" w:space="0" w:color="000000"/>
              <w:right w:val="nil"/>
            </w:tcBorders>
            <w:shd w:val="clear" w:color="auto" w:fill="auto"/>
            <w:vAlign w:val="center"/>
          </w:tcPr>
          <w:p w14:paraId="0D1B2E50"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r>
      <w:tr w:rsidR="00F05EF7" w:rsidRPr="00F05EF7" w14:paraId="4C10BFB2" w14:textId="77777777" w:rsidTr="00930D82">
        <w:trPr>
          <w:trHeight w:val="260"/>
          <w:jc w:val="right"/>
        </w:trPr>
        <w:tc>
          <w:tcPr>
            <w:tcW w:w="677" w:type="pct"/>
            <w:tcBorders>
              <w:top w:val="nil"/>
              <w:left w:val="nil"/>
              <w:bottom w:val="single" w:sz="8" w:space="0" w:color="000000"/>
              <w:right w:val="single" w:sz="8" w:space="0" w:color="000000"/>
            </w:tcBorders>
            <w:shd w:val="clear" w:color="auto" w:fill="auto"/>
            <w:vAlign w:val="center"/>
          </w:tcPr>
          <w:p w14:paraId="4C2A3AE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637" w:type="pct"/>
            <w:tcBorders>
              <w:top w:val="nil"/>
              <w:left w:val="nil"/>
              <w:bottom w:val="single" w:sz="8" w:space="0" w:color="000000"/>
              <w:right w:val="single" w:sz="8" w:space="0" w:color="000000"/>
            </w:tcBorders>
            <w:shd w:val="clear" w:color="auto" w:fill="auto"/>
            <w:vAlign w:val="center"/>
          </w:tcPr>
          <w:p w14:paraId="0B23554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15,83%</w:t>
            </w:r>
          </w:p>
        </w:tc>
        <w:tc>
          <w:tcPr>
            <w:tcW w:w="717" w:type="pct"/>
            <w:tcBorders>
              <w:top w:val="nil"/>
              <w:left w:val="nil"/>
              <w:bottom w:val="single" w:sz="8" w:space="0" w:color="000000"/>
              <w:right w:val="single" w:sz="8" w:space="0" w:color="000000"/>
            </w:tcBorders>
            <w:shd w:val="clear" w:color="auto" w:fill="auto"/>
            <w:vAlign w:val="center"/>
          </w:tcPr>
          <w:p w14:paraId="658AC9E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11,51%</w:t>
            </w:r>
          </w:p>
        </w:tc>
        <w:tc>
          <w:tcPr>
            <w:tcW w:w="717" w:type="pct"/>
            <w:tcBorders>
              <w:top w:val="nil"/>
              <w:left w:val="nil"/>
              <w:bottom w:val="single" w:sz="8" w:space="0" w:color="000000"/>
              <w:right w:val="single" w:sz="8" w:space="0" w:color="000000"/>
            </w:tcBorders>
            <w:shd w:val="clear" w:color="auto" w:fill="auto"/>
            <w:vAlign w:val="center"/>
          </w:tcPr>
          <w:p w14:paraId="18705F3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45,28%</w:t>
            </w:r>
          </w:p>
        </w:tc>
        <w:tc>
          <w:tcPr>
            <w:tcW w:w="739" w:type="pct"/>
            <w:tcBorders>
              <w:top w:val="nil"/>
              <w:left w:val="nil"/>
              <w:bottom w:val="single" w:sz="8" w:space="0" w:color="000000"/>
              <w:right w:val="single" w:sz="8" w:space="0" w:color="000000"/>
            </w:tcBorders>
            <w:shd w:val="clear" w:color="auto" w:fill="auto"/>
            <w:vAlign w:val="center"/>
          </w:tcPr>
          <w:p w14:paraId="2A02631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0,45%</w:t>
            </w:r>
          </w:p>
        </w:tc>
        <w:tc>
          <w:tcPr>
            <w:tcW w:w="796" w:type="pct"/>
            <w:tcBorders>
              <w:top w:val="nil"/>
              <w:left w:val="nil"/>
              <w:bottom w:val="single" w:sz="8" w:space="0" w:color="000000"/>
              <w:right w:val="nil"/>
            </w:tcBorders>
            <w:shd w:val="clear" w:color="auto" w:fill="auto"/>
            <w:vAlign w:val="center"/>
          </w:tcPr>
          <w:p w14:paraId="38A0C24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26,94%</w:t>
            </w:r>
          </w:p>
        </w:tc>
        <w:tc>
          <w:tcPr>
            <w:tcW w:w="717" w:type="pct"/>
            <w:tcBorders>
              <w:top w:val="nil"/>
              <w:left w:val="single" w:sz="4" w:space="0" w:color="000000"/>
              <w:bottom w:val="single" w:sz="4" w:space="0" w:color="000000"/>
              <w:right w:val="nil"/>
            </w:tcBorders>
            <w:shd w:val="clear" w:color="auto" w:fill="auto"/>
            <w:vAlign w:val="center"/>
          </w:tcPr>
          <w:p w14:paraId="0A49CB81"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1E92F9C7" w14:textId="77777777" w:rsidTr="00930D82">
        <w:trPr>
          <w:trHeight w:val="260"/>
          <w:jc w:val="right"/>
        </w:trPr>
        <w:tc>
          <w:tcPr>
            <w:tcW w:w="677" w:type="pct"/>
            <w:tcBorders>
              <w:top w:val="nil"/>
              <w:left w:val="nil"/>
              <w:bottom w:val="single" w:sz="8" w:space="0" w:color="000000"/>
              <w:right w:val="single" w:sz="8" w:space="0" w:color="000000"/>
            </w:tcBorders>
            <w:shd w:val="clear" w:color="auto" w:fill="auto"/>
            <w:vAlign w:val="center"/>
          </w:tcPr>
          <w:p w14:paraId="3996F37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637" w:type="pct"/>
            <w:tcBorders>
              <w:top w:val="nil"/>
              <w:left w:val="nil"/>
              <w:bottom w:val="single" w:sz="8" w:space="0" w:color="000000"/>
              <w:right w:val="single" w:sz="8" w:space="0" w:color="000000"/>
            </w:tcBorders>
            <w:shd w:val="clear" w:color="auto" w:fill="auto"/>
            <w:vAlign w:val="center"/>
          </w:tcPr>
          <w:p w14:paraId="6F071A5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9,14%</w:t>
            </w:r>
          </w:p>
        </w:tc>
        <w:tc>
          <w:tcPr>
            <w:tcW w:w="717" w:type="pct"/>
            <w:tcBorders>
              <w:top w:val="nil"/>
              <w:left w:val="nil"/>
              <w:bottom w:val="single" w:sz="8" w:space="0" w:color="000000"/>
              <w:right w:val="single" w:sz="8" w:space="0" w:color="000000"/>
            </w:tcBorders>
            <w:shd w:val="clear" w:color="auto" w:fill="auto"/>
            <w:vAlign w:val="center"/>
          </w:tcPr>
          <w:p w14:paraId="7E8A239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9,71%</w:t>
            </w:r>
          </w:p>
        </w:tc>
        <w:tc>
          <w:tcPr>
            <w:tcW w:w="717" w:type="pct"/>
            <w:tcBorders>
              <w:top w:val="nil"/>
              <w:left w:val="nil"/>
              <w:bottom w:val="single" w:sz="8" w:space="0" w:color="000000"/>
              <w:right w:val="single" w:sz="8" w:space="0" w:color="000000"/>
            </w:tcBorders>
            <w:shd w:val="clear" w:color="auto" w:fill="auto"/>
            <w:vAlign w:val="center"/>
          </w:tcPr>
          <w:p w14:paraId="14853E3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73,64%</w:t>
            </w:r>
          </w:p>
        </w:tc>
        <w:tc>
          <w:tcPr>
            <w:tcW w:w="739" w:type="pct"/>
            <w:tcBorders>
              <w:top w:val="nil"/>
              <w:left w:val="nil"/>
              <w:bottom w:val="single" w:sz="8" w:space="0" w:color="000000"/>
              <w:right w:val="single" w:sz="8" w:space="0" w:color="000000"/>
            </w:tcBorders>
            <w:shd w:val="clear" w:color="auto" w:fill="auto"/>
            <w:vAlign w:val="center"/>
          </w:tcPr>
          <w:p w14:paraId="56B17BE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96" w:type="pct"/>
            <w:tcBorders>
              <w:top w:val="nil"/>
              <w:left w:val="nil"/>
              <w:bottom w:val="single" w:sz="8" w:space="0" w:color="000000"/>
              <w:right w:val="nil"/>
            </w:tcBorders>
            <w:shd w:val="clear" w:color="auto" w:fill="auto"/>
            <w:vAlign w:val="center"/>
          </w:tcPr>
          <w:p w14:paraId="71EB53A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7,50%</w:t>
            </w:r>
          </w:p>
        </w:tc>
        <w:tc>
          <w:tcPr>
            <w:tcW w:w="717" w:type="pct"/>
            <w:tcBorders>
              <w:top w:val="nil"/>
              <w:left w:val="single" w:sz="4" w:space="0" w:color="000000"/>
              <w:bottom w:val="single" w:sz="4" w:space="0" w:color="000000"/>
              <w:right w:val="nil"/>
            </w:tcBorders>
            <w:shd w:val="clear" w:color="auto" w:fill="auto"/>
            <w:vAlign w:val="center"/>
          </w:tcPr>
          <w:p w14:paraId="6BF484AE"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203ACC37" w14:textId="77777777" w:rsidTr="00930D82">
        <w:trPr>
          <w:trHeight w:val="260"/>
          <w:jc w:val="right"/>
        </w:trPr>
        <w:tc>
          <w:tcPr>
            <w:tcW w:w="677" w:type="pct"/>
            <w:tcBorders>
              <w:top w:val="nil"/>
              <w:left w:val="nil"/>
              <w:bottom w:val="single" w:sz="8" w:space="0" w:color="000000"/>
              <w:right w:val="single" w:sz="8" w:space="0" w:color="000000"/>
            </w:tcBorders>
            <w:shd w:val="clear" w:color="auto" w:fill="auto"/>
            <w:vAlign w:val="center"/>
          </w:tcPr>
          <w:p w14:paraId="078516C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637" w:type="pct"/>
            <w:tcBorders>
              <w:top w:val="nil"/>
              <w:left w:val="nil"/>
              <w:bottom w:val="single" w:sz="8" w:space="0" w:color="000000"/>
              <w:right w:val="single" w:sz="8" w:space="0" w:color="000000"/>
            </w:tcBorders>
            <w:shd w:val="clear" w:color="auto" w:fill="auto"/>
            <w:vAlign w:val="center"/>
          </w:tcPr>
          <w:p w14:paraId="17C838E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17,19%</w:t>
            </w:r>
          </w:p>
        </w:tc>
        <w:tc>
          <w:tcPr>
            <w:tcW w:w="717" w:type="pct"/>
            <w:tcBorders>
              <w:top w:val="nil"/>
              <w:left w:val="nil"/>
              <w:bottom w:val="single" w:sz="8" w:space="0" w:color="000000"/>
              <w:right w:val="single" w:sz="8" w:space="0" w:color="000000"/>
            </w:tcBorders>
            <w:shd w:val="clear" w:color="auto" w:fill="auto"/>
            <w:vAlign w:val="center"/>
          </w:tcPr>
          <w:p w14:paraId="773A95A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17,81%</w:t>
            </w:r>
          </w:p>
        </w:tc>
        <w:tc>
          <w:tcPr>
            <w:tcW w:w="717" w:type="pct"/>
            <w:tcBorders>
              <w:top w:val="nil"/>
              <w:left w:val="nil"/>
              <w:bottom w:val="single" w:sz="8" w:space="0" w:color="000000"/>
              <w:right w:val="single" w:sz="8" w:space="0" w:color="000000"/>
            </w:tcBorders>
            <w:shd w:val="clear" w:color="auto" w:fill="auto"/>
            <w:vAlign w:val="center"/>
          </w:tcPr>
          <w:p w14:paraId="1D8C354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61,91%</w:t>
            </w:r>
          </w:p>
        </w:tc>
        <w:tc>
          <w:tcPr>
            <w:tcW w:w="739" w:type="pct"/>
            <w:tcBorders>
              <w:top w:val="nil"/>
              <w:left w:val="nil"/>
              <w:bottom w:val="single" w:sz="8" w:space="0" w:color="000000"/>
              <w:right w:val="single" w:sz="8" w:space="0" w:color="000000"/>
            </w:tcBorders>
            <w:shd w:val="clear" w:color="auto" w:fill="auto"/>
            <w:vAlign w:val="center"/>
          </w:tcPr>
          <w:p w14:paraId="26E4F0B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96" w:type="pct"/>
            <w:tcBorders>
              <w:top w:val="nil"/>
              <w:left w:val="nil"/>
              <w:bottom w:val="single" w:sz="8" w:space="0" w:color="000000"/>
              <w:right w:val="nil"/>
            </w:tcBorders>
            <w:shd w:val="clear" w:color="auto" w:fill="auto"/>
            <w:vAlign w:val="center"/>
          </w:tcPr>
          <w:p w14:paraId="37F2482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3,08%</w:t>
            </w:r>
          </w:p>
        </w:tc>
        <w:tc>
          <w:tcPr>
            <w:tcW w:w="717" w:type="pct"/>
            <w:tcBorders>
              <w:top w:val="nil"/>
              <w:left w:val="single" w:sz="4" w:space="0" w:color="000000"/>
              <w:bottom w:val="single" w:sz="4" w:space="0" w:color="000000"/>
              <w:right w:val="nil"/>
            </w:tcBorders>
            <w:shd w:val="clear" w:color="auto" w:fill="auto"/>
            <w:vAlign w:val="center"/>
          </w:tcPr>
          <w:p w14:paraId="64C6230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3E324E12" w14:textId="77777777" w:rsidTr="00930D82">
        <w:trPr>
          <w:trHeight w:val="260"/>
          <w:jc w:val="right"/>
        </w:trPr>
        <w:tc>
          <w:tcPr>
            <w:tcW w:w="677" w:type="pct"/>
            <w:tcBorders>
              <w:top w:val="nil"/>
              <w:left w:val="nil"/>
              <w:bottom w:val="single" w:sz="8" w:space="0" w:color="000000"/>
              <w:right w:val="single" w:sz="8" w:space="0" w:color="000000"/>
            </w:tcBorders>
            <w:shd w:val="clear" w:color="auto" w:fill="auto"/>
            <w:vAlign w:val="center"/>
          </w:tcPr>
          <w:p w14:paraId="0AB9197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637" w:type="pct"/>
            <w:tcBorders>
              <w:top w:val="nil"/>
              <w:left w:val="nil"/>
              <w:bottom w:val="single" w:sz="8" w:space="0" w:color="000000"/>
              <w:right w:val="single" w:sz="8" w:space="0" w:color="000000"/>
            </w:tcBorders>
            <w:shd w:val="clear" w:color="auto" w:fill="auto"/>
            <w:vAlign w:val="center"/>
          </w:tcPr>
          <w:p w14:paraId="7A11FE7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18,49%</w:t>
            </w:r>
          </w:p>
        </w:tc>
        <w:tc>
          <w:tcPr>
            <w:tcW w:w="717" w:type="pct"/>
            <w:tcBorders>
              <w:top w:val="nil"/>
              <w:left w:val="nil"/>
              <w:bottom w:val="single" w:sz="8" w:space="0" w:color="000000"/>
              <w:right w:val="single" w:sz="8" w:space="0" w:color="000000"/>
            </w:tcBorders>
            <w:shd w:val="clear" w:color="auto" w:fill="auto"/>
            <w:vAlign w:val="center"/>
          </w:tcPr>
          <w:p w14:paraId="1F5CAD3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18,73%</w:t>
            </w:r>
          </w:p>
        </w:tc>
        <w:tc>
          <w:tcPr>
            <w:tcW w:w="717" w:type="pct"/>
            <w:tcBorders>
              <w:top w:val="nil"/>
              <w:left w:val="nil"/>
              <w:bottom w:val="single" w:sz="8" w:space="0" w:color="000000"/>
              <w:right w:val="single" w:sz="8" w:space="0" w:color="000000"/>
            </w:tcBorders>
            <w:shd w:val="clear" w:color="auto" w:fill="auto"/>
            <w:vAlign w:val="center"/>
          </w:tcPr>
          <w:p w14:paraId="416F076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61,35%</w:t>
            </w:r>
          </w:p>
        </w:tc>
        <w:tc>
          <w:tcPr>
            <w:tcW w:w="739" w:type="pct"/>
            <w:tcBorders>
              <w:top w:val="nil"/>
              <w:left w:val="nil"/>
              <w:bottom w:val="single" w:sz="8" w:space="0" w:color="000000"/>
              <w:right w:val="single" w:sz="8" w:space="0" w:color="000000"/>
            </w:tcBorders>
            <w:shd w:val="clear" w:color="auto" w:fill="auto"/>
            <w:vAlign w:val="center"/>
          </w:tcPr>
          <w:p w14:paraId="5B7BD92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96" w:type="pct"/>
            <w:tcBorders>
              <w:top w:val="nil"/>
              <w:left w:val="nil"/>
              <w:bottom w:val="single" w:sz="8" w:space="0" w:color="000000"/>
              <w:right w:val="nil"/>
            </w:tcBorders>
            <w:shd w:val="clear" w:color="auto" w:fill="auto"/>
            <w:vAlign w:val="center"/>
          </w:tcPr>
          <w:p w14:paraId="3945913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1,43%</w:t>
            </w:r>
          </w:p>
        </w:tc>
        <w:tc>
          <w:tcPr>
            <w:tcW w:w="717" w:type="pct"/>
            <w:tcBorders>
              <w:top w:val="nil"/>
              <w:left w:val="single" w:sz="4" w:space="0" w:color="000000"/>
              <w:bottom w:val="single" w:sz="4" w:space="0" w:color="000000"/>
              <w:right w:val="nil"/>
            </w:tcBorders>
            <w:shd w:val="clear" w:color="auto" w:fill="auto"/>
            <w:vAlign w:val="center"/>
          </w:tcPr>
          <w:p w14:paraId="3CE1D19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22032CAA" w14:textId="77777777" w:rsidTr="00930D82">
        <w:trPr>
          <w:trHeight w:val="260"/>
          <w:jc w:val="right"/>
        </w:trPr>
        <w:tc>
          <w:tcPr>
            <w:tcW w:w="677" w:type="pct"/>
            <w:tcBorders>
              <w:top w:val="nil"/>
              <w:left w:val="nil"/>
              <w:bottom w:val="single" w:sz="8" w:space="0" w:color="000000"/>
              <w:right w:val="single" w:sz="8" w:space="0" w:color="000000"/>
            </w:tcBorders>
            <w:shd w:val="clear" w:color="auto" w:fill="auto"/>
            <w:vAlign w:val="center"/>
          </w:tcPr>
          <w:p w14:paraId="2AE9D591"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637" w:type="pct"/>
            <w:tcBorders>
              <w:top w:val="nil"/>
              <w:left w:val="nil"/>
              <w:bottom w:val="single" w:sz="8" w:space="0" w:color="000000"/>
              <w:right w:val="single" w:sz="8" w:space="0" w:color="000000"/>
            </w:tcBorders>
            <w:shd w:val="clear" w:color="auto" w:fill="auto"/>
            <w:vAlign w:val="center"/>
          </w:tcPr>
          <w:p w14:paraId="67B2EB0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12,88%</w:t>
            </w:r>
          </w:p>
        </w:tc>
        <w:tc>
          <w:tcPr>
            <w:tcW w:w="717" w:type="pct"/>
            <w:tcBorders>
              <w:top w:val="nil"/>
              <w:left w:val="nil"/>
              <w:bottom w:val="single" w:sz="8" w:space="0" w:color="000000"/>
              <w:right w:val="single" w:sz="8" w:space="0" w:color="000000"/>
            </w:tcBorders>
            <w:shd w:val="clear" w:color="auto" w:fill="auto"/>
            <w:vAlign w:val="center"/>
          </w:tcPr>
          <w:p w14:paraId="55EF2CB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29,82%</w:t>
            </w:r>
          </w:p>
        </w:tc>
        <w:tc>
          <w:tcPr>
            <w:tcW w:w="717" w:type="pct"/>
            <w:tcBorders>
              <w:top w:val="nil"/>
              <w:left w:val="nil"/>
              <w:bottom w:val="single" w:sz="8" w:space="0" w:color="000000"/>
              <w:right w:val="single" w:sz="8" w:space="0" w:color="000000"/>
            </w:tcBorders>
            <w:shd w:val="clear" w:color="auto" w:fill="auto"/>
            <w:vAlign w:val="center"/>
          </w:tcPr>
          <w:p w14:paraId="5393DCD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43,11%</w:t>
            </w:r>
          </w:p>
        </w:tc>
        <w:tc>
          <w:tcPr>
            <w:tcW w:w="739" w:type="pct"/>
            <w:tcBorders>
              <w:top w:val="nil"/>
              <w:left w:val="nil"/>
              <w:bottom w:val="single" w:sz="8" w:space="0" w:color="000000"/>
              <w:right w:val="single" w:sz="8" w:space="0" w:color="000000"/>
            </w:tcBorders>
            <w:shd w:val="clear" w:color="auto" w:fill="auto"/>
            <w:vAlign w:val="center"/>
          </w:tcPr>
          <w:p w14:paraId="6A8B4AC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14,19%</w:t>
            </w:r>
          </w:p>
        </w:tc>
        <w:tc>
          <w:tcPr>
            <w:tcW w:w="796" w:type="pct"/>
            <w:tcBorders>
              <w:top w:val="nil"/>
              <w:left w:val="nil"/>
              <w:bottom w:val="single" w:sz="8" w:space="0" w:color="000000"/>
              <w:right w:val="nil"/>
            </w:tcBorders>
            <w:shd w:val="clear" w:color="auto" w:fill="auto"/>
            <w:vAlign w:val="center"/>
          </w:tcPr>
          <w:p w14:paraId="7CC113C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single" w:sz="4" w:space="0" w:color="000000"/>
              <w:bottom w:val="single" w:sz="4" w:space="0" w:color="000000"/>
              <w:right w:val="nil"/>
            </w:tcBorders>
            <w:shd w:val="clear" w:color="auto" w:fill="auto"/>
            <w:vAlign w:val="center"/>
          </w:tcPr>
          <w:p w14:paraId="1621994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bl>
    <w:p w14:paraId="032EDE85" w14:textId="77777777" w:rsidR="00930D82" w:rsidRPr="00F9587A" w:rsidRDefault="00930D82"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pelos autores com base na pesquisa.</w:t>
      </w:r>
    </w:p>
    <w:p w14:paraId="0A252258" w14:textId="77777777" w:rsidR="00930D82" w:rsidRDefault="00930D82" w:rsidP="00AD5592">
      <w:pPr>
        <w:widowControl w:val="0"/>
        <w:pBdr>
          <w:top w:val="nil"/>
          <w:left w:val="nil"/>
          <w:bottom w:val="nil"/>
          <w:right w:val="nil"/>
          <w:between w:val="nil"/>
        </w:pBdr>
        <w:jc w:val="both"/>
        <w:rPr>
          <w:rFonts w:ascii="Times New Roman" w:eastAsia="Times New Roman" w:hAnsi="Times New Roman" w:cs="Times New Roman"/>
        </w:rPr>
      </w:pPr>
    </w:p>
    <w:p w14:paraId="1057640E" w14:textId="381B4B51"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Os dados do município de Restinga </w:t>
      </w:r>
      <w:proofErr w:type="spellStart"/>
      <w:r w:rsidRPr="00F05EF7">
        <w:rPr>
          <w:rFonts w:ascii="Times New Roman" w:eastAsia="Times New Roman" w:hAnsi="Times New Roman" w:cs="Times New Roman"/>
        </w:rPr>
        <w:t>Sêca</w:t>
      </w:r>
      <w:proofErr w:type="spellEnd"/>
      <w:r w:rsidRPr="00F05EF7">
        <w:rPr>
          <w:rFonts w:ascii="Times New Roman" w:eastAsia="Times New Roman" w:hAnsi="Times New Roman" w:cs="Times New Roman"/>
        </w:rPr>
        <w:t xml:space="preserve"> demonstram que a fonte de recurso mais utilizada para a abertura dos créditos adicionais é anulação de dotação. Essa fonte de recurso </w:t>
      </w:r>
      <w:r w:rsidRPr="00F05EF7">
        <w:rPr>
          <w:rFonts w:ascii="Times New Roman" w:eastAsia="Times New Roman" w:hAnsi="Times New Roman" w:cs="Times New Roman"/>
        </w:rPr>
        <w:lastRenderedPageBreak/>
        <w:t>representou 45,28% dos créditos adicionais abertos em 2014, 73,64% em 2015, 61,91% em 2016, 61,35% em 2017 e 43,11% em 2018.</w:t>
      </w:r>
    </w:p>
    <w:p w14:paraId="03A62BBB" w14:textId="77777777"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Quanto às demais fontes, observa-se que os valores movimentados como fonte de excesso de arrecadação representaram um mínimo de 9,71% (2015) e um máximo de 29,82% (2018) dos créditos adicionais abertos no período, enquanto o superávit financeiro representou mínimo de 9,14% (2015) e um máximo de 18,49% (2017) no período. No tocante às operações de crédito, apenas houve ocorrência nos exercícios de 2014 e 2018, os quais representaram 0,45% e 14,19%, respectivamente, do total de créditos abertos no exercício, enquanto outras fontes representaram de 1,43% (2017) a 26,94% (2014).</w:t>
      </w:r>
    </w:p>
    <w:p w14:paraId="1B941CC0" w14:textId="0A09E24B" w:rsidR="00821527" w:rsidRDefault="0057322D" w:rsidP="00AD5592">
      <w:pPr>
        <w:widowControl w:val="0"/>
        <w:jc w:val="both"/>
        <w:rPr>
          <w:rFonts w:ascii="Times New Roman" w:eastAsia="Times New Roman" w:hAnsi="Times New Roman" w:cs="Times New Roman"/>
        </w:rPr>
      </w:pPr>
      <w:r>
        <w:rPr>
          <w:rFonts w:ascii="Times New Roman" w:eastAsia="Times New Roman" w:hAnsi="Times New Roman" w:cs="Times New Roman"/>
        </w:rPr>
        <w:tab/>
        <w:t xml:space="preserve">A </w:t>
      </w:r>
      <w:r w:rsidRPr="006026C8">
        <w:rPr>
          <w:rFonts w:ascii="Times New Roman" w:eastAsia="Times New Roman" w:hAnsi="Times New Roman" w:cs="Times New Roman"/>
        </w:rPr>
        <w:t>T</w:t>
      </w:r>
      <w:r w:rsidR="0010504B" w:rsidRPr="006026C8">
        <w:rPr>
          <w:rFonts w:ascii="Times New Roman" w:eastAsia="Times New Roman" w:hAnsi="Times New Roman" w:cs="Times New Roman"/>
        </w:rPr>
        <w:t>abela</w:t>
      </w:r>
      <w:r w:rsidR="0010504B" w:rsidRPr="00F05EF7">
        <w:rPr>
          <w:rFonts w:ascii="Times New Roman" w:eastAsia="Times New Roman" w:hAnsi="Times New Roman" w:cs="Times New Roman"/>
        </w:rPr>
        <w:t xml:space="preserve"> </w:t>
      </w:r>
      <w:r w:rsidR="00051C18" w:rsidRPr="00F05EF7">
        <w:rPr>
          <w:rFonts w:ascii="Times New Roman" w:eastAsia="Times New Roman" w:hAnsi="Times New Roman" w:cs="Times New Roman"/>
        </w:rPr>
        <w:t>8</w:t>
      </w:r>
      <w:r w:rsidR="00C458AA" w:rsidRPr="00F05EF7">
        <w:rPr>
          <w:rFonts w:ascii="Times New Roman" w:eastAsia="Times New Roman" w:hAnsi="Times New Roman" w:cs="Times New Roman"/>
        </w:rPr>
        <w:t xml:space="preserve"> </w:t>
      </w:r>
      <w:r w:rsidR="00350394">
        <w:rPr>
          <w:rFonts w:ascii="Times New Roman" w:eastAsia="Times New Roman" w:hAnsi="Times New Roman" w:cs="Times New Roman"/>
        </w:rPr>
        <w:t>mostra</w:t>
      </w:r>
      <w:r w:rsidR="00C458AA" w:rsidRPr="00F05EF7">
        <w:rPr>
          <w:rFonts w:ascii="Times New Roman" w:eastAsia="Times New Roman" w:hAnsi="Times New Roman" w:cs="Times New Roman"/>
        </w:rPr>
        <w:t xml:space="preserve"> </w:t>
      </w:r>
      <w:r w:rsidR="0010504B" w:rsidRPr="00F05EF7">
        <w:rPr>
          <w:rFonts w:ascii="Times New Roman" w:eastAsia="Times New Roman" w:hAnsi="Times New Roman" w:cs="Times New Roman"/>
        </w:rPr>
        <w:t>as fontes de recurso utilizadas para abertura de</w:t>
      </w:r>
      <w:r w:rsidR="00C458AA" w:rsidRPr="00F05EF7">
        <w:rPr>
          <w:rFonts w:ascii="Times New Roman" w:eastAsia="Times New Roman" w:hAnsi="Times New Roman" w:cs="Times New Roman"/>
        </w:rPr>
        <w:t xml:space="preserve"> créditos adicionais em percentual</w:t>
      </w:r>
      <w:r w:rsidR="0010504B" w:rsidRPr="00F05EF7">
        <w:rPr>
          <w:rFonts w:ascii="Times New Roman" w:eastAsia="Times New Roman" w:hAnsi="Times New Roman" w:cs="Times New Roman"/>
        </w:rPr>
        <w:t xml:space="preserve">, no período de 2014 a 2018, do município de São João do </w:t>
      </w:r>
      <w:proofErr w:type="spellStart"/>
      <w:r w:rsidR="0010504B" w:rsidRPr="00F05EF7">
        <w:rPr>
          <w:rFonts w:ascii="Times New Roman" w:eastAsia="Times New Roman" w:hAnsi="Times New Roman" w:cs="Times New Roman"/>
        </w:rPr>
        <w:t>Polêsine</w:t>
      </w:r>
      <w:proofErr w:type="spellEnd"/>
      <w:r w:rsidR="0010504B" w:rsidRPr="00F05EF7">
        <w:rPr>
          <w:rFonts w:ascii="Times New Roman" w:eastAsia="Times New Roman" w:hAnsi="Times New Roman" w:cs="Times New Roman"/>
        </w:rPr>
        <w:t>.</w:t>
      </w:r>
    </w:p>
    <w:p w14:paraId="0D926C65" w14:textId="77777777" w:rsidR="00930D82" w:rsidRPr="00F05EF7" w:rsidRDefault="00930D82" w:rsidP="00AD5592">
      <w:pPr>
        <w:widowControl w:val="0"/>
        <w:jc w:val="both"/>
        <w:rPr>
          <w:rFonts w:ascii="Times New Roman" w:eastAsia="Times New Roman" w:hAnsi="Times New Roman" w:cs="Times New Roman"/>
        </w:rPr>
      </w:pPr>
    </w:p>
    <w:p w14:paraId="1C1FA4EE" w14:textId="188C47B1"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051C18" w:rsidRPr="00AF0520">
        <w:rPr>
          <w:rFonts w:ascii="Times New Roman" w:eastAsia="Times New Roman" w:hAnsi="Times New Roman" w:cs="Times New Roman"/>
          <w:b/>
          <w:bCs/>
        </w:rPr>
        <w:t>8</w:t>
      </w:r>
      <w:r w:rsidRPr="00AF0520">
        <w:rPr>
          <w:rFonts w:ascii="Times New Roman" w:eastAsia="Times New Roman" w:hAnsi="Times New Roman" w:cs="Times New Roman"/>
          <w:b/>
          <w:bCs/>
        </w:rPr>
        <w:t xml:space="preserve"> – Fontes dos créditos adicionais de São João do </w:t>
      </w:r>
      <w:proofErr w:type="spellStart"/>
      <w:r w:rsidRPr="00AF0520">
        <w:rPr>
          <w:rFonts w:ascii="Times New Roman" w:eastAsia="Times New Roman" w:hAnsi="Times New Roman" w:cs="Times New Roman"/>
          <w:b/>
          <w:bCs/>
        </w:rPr>
        <w:t>Polêsine</w:t>
      </w:r>
      <w:proofErr w:type="spellEnd"/>
      <w:r w:rsidRPr="00AF0520">
        <w:rPr>
          <w:rFonts w:ascii="Times New Roman" w:eastAsia="Times New Roman" w:hAnsi="Times New Roman" w:cs="Times New Roman"/>
          <w:b/>
          <w:bCs/>
        </w:rPr>
        <w:t>, em percentual</w:t>
      </w:r>
    </w:p>
    <w:tbl>
      <w:tblPr>
        <w:tblStyle w:val="aff"/>
        <w:tblW w:w="5000" w:type="pct"/>
        <w:jc w:val="right"/>
        <w:tblInd w:w="0" w:type="dxa"/>
        <w:tblLook w:val="0400" w:firstRow="0" w:lastRow="0" w:firstColumn="0" w:lastColumn="0" w:noHBand="0" w:noVBand="1"/>
      </w:tblPr>
      <w:tblGrid>
        <w:gridCol w:w="1155"/>
        <w:gridCol w:w="1448"/>
        <w:gridCol w:w="1372"/>
        <w:gridCol w:w="1408"/>
        <w:gridCol w:w="1248"/>
        <w:gridCol w:w="1301"/>
        <w:gridCol w:w="1139"/>
      </w:tblGrid>
      <w:tr w:rsidR="00F05EF7" w:rsidRPr="00F05EF7" w14:paraId="58A3C0CD" w14:textId="77777777" w:rsidTr="00930D82">
        <w:trPr>
          <w:trHeight w:val="240"/>
          <w:jc w:val="right"/>
        </w:trPr>
        <w:tc>
          <w:tcPr>
            <w:tcW w:w="637" w:type="pct"/>
            <w:vMerge w:val="restart"/>
            <w:tcBorders>
              <w:top w:val="single" w:sz="4" w:space="0" w:color="000000"/>
              <w:left w:val="nil"/>
              <w:bottom w:val="single" w:sz="4" w:space="0" w:color="000000"/>
              <w:right w:val="single" w:sz="4" w:space="0" w:color="000000"/>
            </w:tcBorders>
            <w:shd w:val="clear" w:color="auto" w:fill="auto"/>
          </w:tcPr>
          <w:p w14:paraId="0506F44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79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6D571D9"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Superávit financeiro</w:t>
            </w:r>
          </w:p>
        </w:tc>
        <w:tc>
          <w:tcPr>
            <w:tcW w:w="75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57D84EB"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Excesso de arrecadação</w:t>
            </w:r>
          </w:p>
        </w:tc>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B612B9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Anulação de dotação</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D1782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Operação de crédito</w:t>
            </w:r>
          </w:p>
        </w:tc>
        <w:tc>
          <w:tcPr>
            <w:tcW w:w="717" w:type="pct"/>
            <w:vMerge w:val="restart"/>
            <w:tcBorders>
              <w:top w:val="single" w:sz="4" w:space="0" w:color="000000"/>
              <w:left w:val="nil"/>
              <w:bottom w:val="single" w:sz="4" w:space="0" w:color="000000"/>
              <w:right w:val="nil"/>
            </w:tcBorders>
            <w:shd w:val="clear" w:color="auto" w:fill="auto"/>
            <w:vAlign w:val="center"/>
          </w:tcPr>
          <w:p w14:paraId="43FB2A3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628" w:type="pct"/>
            <w:vMerge w:val="restart"/>
            <w:tcBorders>
              <w:top w:val="single" w:sz="4" w:space="0" w:color="000000"/>
              <w:left w:val="single" w:sz="4" w:space="0" w:color="000000"/>
              <w:bottom w:val="single" w:sz="4" w:space="0" w:color="000000"/>
            </w:tcBorders>
            <w:shd w:val="clear" w:color="auto" w:fill="auto"/>
            <w:vAlign w:val="center"/>
          </w:tcPr>
          <w:p w14:paraId="1590373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381C00ED" w14:textId="77777777" w:rsidTr="00930D82">
        <w:trPr>
          <w:trHeight w:val="264"/>
          <w:jc w:val="right"/>
        </w:trPr>
        <w:tc>
          <w:tcPr>
            <w:tcW w:w="637" w:type="pct"/>
            <w:vMerge/>
            <w:tcBorders>
              <w:top w:val="single" w:sz="4" w:space="0" w:color="000000"/>
              <w:left w:val="nil"/>
              <w:bottom w:val="single" w:sz="4" w:space="0" w:color="000000"/>
              <w:right w:val="single" w:sz="4" w:space="0" w:color="000000"/>
            </w:tcBorders>
            <w:shd w:val="clear" w:color="auto" w:fill="auto"/>
          </w:tcPr>
          <w:p w14:paraId="1D2867AB"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98" w:type="pct"/>
            <w:vMerge/>
            <w:tcBorders>
              <w:top w:val="single" w:sz="4" w:space="0" w:color="000000"/>
              <w:left w:val="single" w:sz="4" w:space="0" w:color="000000"/>
              <w:bottom w:val="single" w:sz="4" w:space="0" w:color="000000"/>
              <w:right w:val="single" w:sz="4" w:space="0" w:color="000000"/>
            </w:tcBorders>
            <w:shd w:val="clear" w:color="auto" w:fill="auto"/>
          </w:tcPr>
          <w:p w14:paraId="321DD3E1"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56" w:type="pct"/>
            <w:vMerge/>
            <w:tcBorders>
              <w:top w:val="single" w:sz="4" w:space="0" w:color="000000"/>
              <w:left w:val="single" w:sz="4" w:space="0" w:color="000000"/>
              <w:bottom w:val="single" w:sz="4" w:space="0" w:color="000000"/>
              <w:right w:val="single" w:sz="4" w:space="0" w:color="000000"/>
            </w:tcBorders>
            <w:shd w:val="clear" w:color="auto" w:fill="auto"/>
          </w:tcPr>
          <w:p w14:paraId="3D562087"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76" w:type="pct"/>
            <w:vMerge/>
            <w:tcBorders>
              <w:top w:val="single" w:sz="4" w:space="0" w:color="000000"/>
              <w:left w:val="single" w:sz="4" w:space="0" w:color="000000"/>
              <w:bottom w:val="single" w:sz="4" w:space="0" w:color="000000"/>
              <w:right w:val="single" w:sz="4" w:space="0" w:color="000000"/>
            </w:tcBorders>
            <w:shd w:val="clear" w:color="auto" w:fill="auto"/>
          </w:tcPr>
          <w:p w14:paraId="2C2AA0F4"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D762C"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17" w:type="pct"/>
            <w:vMerge/>
            <w:tcBorders>
              <w:top w:val="single" w:sz="4" w:space="0" w:color="000000"/>
              <w:left w:val="nil"/>
              <w:bottom w:val="single" w:sz="4" w:space="0" w:color="000000"/>
              <w:right w:val="nil"/>
            </w:tcBorders>
            <w:shd w:val="clear" w:color="auto" w:fill="auto"/>
            <w:vAlign w:val="center"/>
          </w:tcPr>
          <w:p w14:paraId="545B6567"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28" w:type="pct"/>
            <w:vMerge/>
            <w:tcBorders>
              <w:top w:val="single" w:sz="4" w:space="0" w:color="000000"/>
              <w:left w:val="single" w:sz="4" w:space="0" w:color="000000"/>
              <w:bottom w:val="single" w:sz="4" w:space="0" w:color="000000"/>
            </w:tcBorders>
            <w:shd w:val="clear" w:color="auto" w:fill="auto"/>
            <w:vAlign w:val="center"/>
          </w:tcPr>
          <w:p w14:paraId="514DFE27"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r>
      <w:tr w:rsidR="00F05EF7" w:rsidRPr="00F05EF7" w14:paraId="090AA985" w14:textId="77777777" w:rsidTr="00930D82">
        <w:trPr>
          <w:trHeight w:val="260"/>
          <w:jc w:val="right"/>
        </w:trPr>
        <w:tc>
          <w:tcPr>
            <w:tcW w:w="637" w:type="pct"/>
            <w:tcBorders>
              <w:top w:val="nil"/>
              <w:left w:val="nil"/>
              <w:bottom w:val="single" w:sz="8" w:space="0" w:color="000000"/>
              <w:right w:val="single" w:sz="4" w:space="0" w:color="000000"/>
            </w:tcBorders>
            <w:shd w:val="clear" w:color="auto" w:fill="auto"/>
          </w:tcPr>
          <w:p w14:paraId="255C470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798" w:type="pct"/>
            <w:tcBorders>
              <w:top w:val="nil"/>
              <w:left w:val="nil"/>
              <w:bottom w:val="single" w:sz="8" w:space="0" w:color="000000"/>
              <w:right w:val="single" w:sz="4" w:space="0" w:color="000000"/>
            </w:tcBorders>
            <w:shd w:val="clear" w:color="auto" w:fill="auto"/>
            <w:vAlign w:val="center"/>
          </w:tcPr>
          <w:p w14:paraId="601CF96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22,48%</w:t>
            </w:r>
          </w:p>
        </w:tc>
        <w:tc>
          <w:tcPr>
            <w:tcW w:w="756" w:type="pct"/>
            <w:tcBorders>
              <w:top w:val="nil"/>
              <w:left w:val="nil"/>
              <w:bottom w:val="single" w:sz="8" w:space="0" w:color="000000"/>
              <w:right w:val="single" w:sz="4" w:space="0" w:color="000000"/>
            </w:tcBorders>
            <w:shd w:val="clear" w:color="auto" w:fill="auto"/>
            <w:vAlign w:val="center"/>
          </w:tcPr>
          <w:p w14:paraId="5299EBC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4,55%</w:t>
            </w:r>
          </w:p>
        </w:tc>
        <w:tc>
          <w:tcPr>
            <w:tcW w:w="776" w:type="pct"/>
            <w:tcBorders>
              <w:top w:val="nil"/>
              <w:left w:val="nil"/>
              <w:bottom w:val="single" w:sz="8" w:space="0" w:color="000000"/>
              <w:right w:val="single" w:sz="4" w:space="0" w:color="000000"/>
            </w:tcBorders>
            <w:shd w:val="clear" w:color="auto" w:fill="auto"/>
            <w:vAlign w:val="center"/>
          </w:tcPr>
          <w:p w14:paraId="75F6B33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72,97%</w:t>
            </w:r>
          </w:p>
        </w:tc>
        <w:tc>
          <w:tcPr>
            <w:tcW w:w="688" w:type="pct"/>
            <w:tcBorders>
              <w:top w:val="nil"/>
              <w:left w:val="nil"/>
              <w:bottom w:val="single" w:sz="8" w:space="0" w:color="000000"/>
              <w:right w:val="single" w:sz="4" w:space="0" w:color="000000"/>
            </w:tcBorders>
            <w:shd w:val="clear" w:color="auto" w:fill="auto"/>
            <w:vAlign w:val="center"/>
          </w:tcPr>
          <w:p w14:paraId="144720B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07BF32E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28" w:type="pct"/>
            <w:tcBorders>
              <w:top w:val="nil"/>
              <w:left w:val="single" w:sz="4" w:space="0" w:color="000000"/>
              <w:bottom w:val="single" w:sz="4" w:space="0" w:color="000000"/>
              <w:right w:val="nil"/>
            </w:tcBorders>
            <w:shd w:val="clear" w:color="auto" w:fill="auto"/>
            <w:vAlign w:val="center"/>
          </w:tcPr>
          <w:p w14:paraId="4D10654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64A32FA7" w14:textId="77777777" w:rsidTr="00930D82">
        <w:trPr>
          <w:trHeight w:val="260"/>
          <w:jc w:val="right"/>
        </w:trPr>
        <w:tc>
          <w:tcPr>
            <w:tcW w:w="637" w:type="pct"/>
            <w:tcBorders>
              <w:top w:val="nil"/>
              <w:left w:val="nil"/>
              <w:bottom w:val="single" w:sz="8" w:space="0" w:color="000000"/>
              <w:right w:val="single" w:sz="4" w:space="0" w:color="000000"/>
            </w:tcBorders>
            <w:shd w:val="clear" w:color="auto" w:fill="auto"/>
          </w:tcPr>
          <w:p w14:paraId="7915FA6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798" w:type="pct"/>
            <w:tcBorders>
              <w:top w:val="nil"/>
              <w:left w:val="nil"/>
              <w:bottom w:val="single" w:sz="8" w:space="0" w:color="000000"/>
              <w:right w:val="single" w:sz="4" w:space="0" w:color="000000"/>
            </w:tcBorders>
            <w:shd w:val="clear" w:color="auto" w:fill="auto"/>
            <w:vAlign w:val="center"/>
          </w:tcPr>
          <w:p w14:paraId="5B3520C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25,99%</w:t>
            </w:r>
          </w:p>
        </w:tc>
        <w:tc>
          <w:tcPr>
            <w:tcW w:w="756" w:type="pct"/>
            <w:tcBorders>
              <w:top w:val="nil"/>
              <w:left w:val="nil"/>
              <w:bottom w:val="single" w:sz="8" w:space="0" w:color="000000"/>
              <w:right w:val="single" w:sz="4" w:space="0" w:color="000000"/>
            </w:tcBorders>
            <w:shd w:val="clear" w:color="auto" w:fill="auto"/>
            <w:vAlign w:val="center"/>
          </w:tcPr>
          <w:p w14:paraId="2036816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10,41%</w:t>
            </w:r>
          </w:p>
        </w:tc>
        <w:tc>
          <w:tcPr>
            <w:tcW w:w="776" w:type="pct"/>
            <w:tcBorders>
              <w:top w:val="nil"/>
              <w:left w:val="nil"/>
              <w:bottom w:val="single" w:sz="8" w:space="0" w:color="000000"/>
              <w:right w:val="single" w:sz="4" w:space="0" w:color="000000"/>
            </w:tcBorders>
            <w:shd w:val="clear" w:color="auto" w:fill="auto"/>
            <w:vAlign w:val="center"/>
          </w:tcPr>
          <w:p w14:paraId="660E23F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63,59%</w:t>
            </w:r>
          </w:p>
        </w:tc>
        <w:tc>
          <w:tcPr>
            <w:tcW w:w="688" w:type="pct"/>
            <w:tcBorders>
              <w:top w:val="nil"/>
              <w:left w:val="nil"/>
              <w:bottom w:val="single" w:sz="8" w:space="0" w:color="000000"/>
              <w:right w:val="single" w:sz="4" w:space="0" w:color="000000"/>
            </w:tcBorders>
            <w:shd w:val="clear" w:color="auto" w:fill="auto"/>
            <w:vAlign w:val="center"/>
          </w:tcPr>
          <w:p w14:paraId="4787216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261A839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28" w:type="pct"/>
            <w:tcBorders>
              <w:top w:val="nil"/>
              <w:left w:val="single" w:sz="4" w:space="0" w:color="000000"/>
              <w:bottom w:val="single" w:sz="4" w:space="0" w:color="000000"/>
              <w:right w:val="nil"/>
            </w:tcBorders>
            <w:shd w:val="clear" w:color="auto" w:fill="auto"/>
            <w:vAlign w:val="center"/>
          </w:tcPr>
          <w:p w14:paraId="62369FF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5E532EEA" w14:textId="77777777" w:rsidTr="00930D82">
        <w:trPr>
          <w:trHeight w:val="260"/>
          <w:jc w:val="right"/>
        </w:trPr>
        <w:tc>
          <w:tcPr>
            <w:tcW w:w="637" w:type="pct"/>
            <w:tcBorders>
              <w:top w:val="nil"/>
              <w:left w:val="nil"/>
              <w:bottom w:val="single" w:sz="8" w:space="0" w:color="000000"/>
              <w:right w:val="single" w:sz="4" w:space="0" w:color="000000"/>
            </w:tcBorders>
            <w:shd w:val="clear" w:color="auto" w:fill="auto"/>
          </w:tcPr>
          <w:p w14:paraId="6367F59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798" w:type="pct"/>
            <w:tcBorders>
              <w:top w:val="nil"/>
              <w:left w:val="nil"/>
              <w:bottom w:val="single" w:sz="8" w:space="0" w:color="000000"/>
              <w:right w:val="single" w:sz="4" w:space="0" w:color="000000"/>
            </w:tcBorders>
            <w:shd w:val="clear" w:color="auto" w:fill="auto"/>
            <w:vAlign w:val="center"/>
          </w:tcPr>
          <w:p w14:paraId="2646104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12,60%</w:t>
            </w:r>
          </w:p>
        </w:tc>
        <w:tc>
          <w:tcPr>
            <w:tcW w:w="756" w:type="pct"/>
            <w:tcBorders>
              <w:top w:val="nil"/>
              <w:left w:val="nil"/>
              <w:bottom w:val="single" w:sz="8" w:space="0" w:color="000000"/>
              <w:right w:val="single" w:sz="4" w:space="0" w:color="000000"/>
            </w:tcBorders>
            <w:shd w:val="clear" w:color="auto" w:fill="auto"/>
            <w:vAlign w:val="center"/>
          </w:tcPr>
          <w:p w14:paraId="68EB4CE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4,33%</w:t>
            </w:r>
          </w:p>
        </w:tc>
        <w:tc>
          <w:tcPr>
            <w:tcW w:w="776" w:type="pct"/>
            <w:tcBorders>
              <w:top w:val="nil"/>
              <w:left w:val="nil"/>
              <w:bottom w:val="single" w:sz="8" w:space="0" w:color="000000"/>
              <w:right w:val="single" w:sz="4" w:space="0" w:color="000000"/>
            </w:tcBorders>
            <w:shd w:val="clear" w:color="auto" w:fill="auto"/>
            <w:vAlign w:val="center"/>
          </w:tcPr>
          <w:p w14:paraId="25F152D2"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80,92%</w:t>
            </w:r>
          </w:p>
        </w:tc>
        <w:tc>
          <w:tcPr>
            <w:tcW w:w="688" w:type="pct"/>
            <w:tcBorders>
              <w:top w:val="nil"/>
              <w:left w:val="nil"/>
              <w:bottom w:val="single" w:sz="8" w:space="0" w:color="000000"/>
              <w:right w:val="single" w:sz="4" w:space="0" w:color="000000"/>
            </w:tcBorders>
            <w:shd w:val="clear" w:color="auto" w:fill="auto"/>
            <w:vAlign w:val="center"/>
          </w:tcPr>
          <w:p w14:paraId="3602F82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2AF72DB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2,15%</w:t>
            </w:r>
          </w:p>
        </w:tc>
        <w:tc>
          <w:tcPr>
            <w:tcW w:w="628" w:type="pct"/>
            <w:tcBorders>
              <w:top w:val="nil"/>
              <w:left w:val="single" w:sz="4" w:space="0" w:color="000000"/>
              <w:bottom w:val="single" w:sz="4" w:space="0" w:color="000000"/>
              <w:right w:val="nil"/>
            </w:tcBorders>
            <w:shd w:val="clear" w:color="auto" w:fill="auto"/>
            <w:vAlign w:val="center"/>
          </w:tcPr>
          <w:p w14:paraId="67A2744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6CC3CED4" w14:textId="77777777" w:rsidTr="00930D82">
        <w:trPr>
          <w:trHeight w:val="260"/>
          <w:jc w:val="right"/>
        </w:trPr>
        <w:tc>
          <w:tcPr>
            <w:tcW w:w="637" w:type="pct"/>
            <w:tcBorders>
              <w:top w:val="nil"/>
              <w:left w:val="nil"/>
              <w:bottom w:val="single" w:sz="8" w:space="0" w:color="000000"/>
              <w:right w:val="single" w:sz="4" w:space="0" w:color="000000"/>
            </w:tcBorders>
            <w:shd w:val="clear" w:color="auto" w:fill="auto"/>
          </w:tcPr>
          <w:p w14:paraId="383BBB8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798" w:type="pct"/>
            <w:tcBorders>
              <w:top w:val="nil"/>
              <w:left w:val="nil"/>
              <w:bottom w:val="single" w:sz="8" w:space="0" w:color="000000"/>
              <w:right w:val="single" w:sz="4" w:space="0" w:color="000000"/>
            </w:tcBorders>
            <w:shd w:val="clear" w:color="auto" w:fill="auto"/>
            <w:vAlign w:val="center"/>
          </w:tcPr>
          <w:p w14:paraId="6695C87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12,94%</w:t>
            </w:r>
          </w:p>
        </w:tc>
        <w:tc>
          <w:tcPr>
            <w:tcW w:w="756" w:type="pct"/>
            <w:tcBorders>
              <w:top w:val="nil"/>
              <w:left w:val="nil"/>
              <w:bottom w:val="single" w:sz="8" w:space="0" w:color="000000"/>
              <w:right w:val="single" w:sz="4" w:space="0" w:color="000000"/>
            </w:tcBorders>
            <w:shd w:val="clear" w:color="auto" w:fill="auto"/>
            <w:vAlign w:val="center"/>
          </w:tcPr>
          <w:p w14:paraId="1B384D55"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8,27%</w:t>
            </w:r>
          </w:p>
        </w:tc>
        <w:tc>
          <w:tcPr>
            <w:tcW w:w="776" w:type="pct"/>
            <w:tcBorders>
              <w:top w:val="nil"/>
              <w:left w:val="nil"/>
              <w:bottom w:val="single" w:sz="8" w:space="0" w:color="000000"/>
              <w:right w:val="single" w:sz="4" w:space="0" w:color="000000"/>
            </w:tcBorders>
            <w:shd w:val="clear" w:color="auto" w:fill="auto"/>
            <w:vAlign w:val="center"/>
          </w:tcPr>
          <w:p w14:paraId="59FB700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78,79%</w:t>
            </w:r>
          </w:p>
        </w:tc>
        <w:tc>
          <w:tcPr>
            <w:tcW w:w="688" w:type="pct"/>
            <w:tcBorders>
              <w:top w:val="nil"/>
              <w:left w:val="nil"/>
              <w:bottom w:val="single" w:sz="8" w:space="0" w:color="000000"/>
              <w:right w:val="single" w:sz="4" w:space="0" w:color="000000"/>
            </w:tcBorders>
            <w:shd w:val="clear" w:color="auto" w:fill="auto"/>
            <w:vAlign w:val="center"/>
          </w:tcPr>
          <w:p w14:paraId="1E056E3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5162449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28" w:type="pct"/>
            <w:tcBorders>
              <w:top w:val="nil"/>
              <w:left w:val="single" w:sz="4" w:space="0" w:color="000000"/>
              <w:bottom w:val="single" w:sz="4" w:space="0" w:color="000000"/>
              <w:right w:val="nil"/>
            </w:tcBorders>
            <w:shd w:val="clear" w:color="auto" w:fill="auto"/>
            <w:vAlign w:val="center"/>
          </w:tcPr>
          <w:p w14:paraId="41EE446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0E5D339E" w14:textId="77777777" w:rsidTr="00930D82">
        <w:trPr>
          <w:trHeight w:val="260"/>
          <w:jc w:val="right"/>
        </w:trPr>
        <w:tc>
          <w:tcPr>
            <w:tcW w:w="637" w:type="pct"/>
            <w:tcBorders>
              <w:top w:val="nil"/>
              <w:left w:val="nil"/>
              <w:bottom w:val="single" w:sz="8" w:space="0" w:color="000000"/>
              <w:right w:val="single" w:sz="4" w:space="0" w:color="000000"/>
            </w:tcBorders>
            <w:shd w:val="clear" w:color="auto" w:fill="auto"/>
          </w:tcPr>
          <w:p w14:paraId="2EE294E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798" w:type="pct"/>
            <w:tcBorders>
              <w:top w:val="nil"/>
              <w:left w:val="nil"/>
              <w:bottom w:val="single" w:sz="8" w:space="0" w:color="000000"/>
              <w:right w:val="single" w:sz="4" w:space="0" w:color="000000"/>
            </w:tcBorders>
            <w:shd w:val="clear" w:color="auto" w:fill="auto"/>
            <w:vAlign w:val="center"/>
          </w:tcPr>
          <w:p w14:paraId="45780FF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20,04%</w:t>
            </w:r>
          </w:p>
        </w:tc>
        <w:tc>
          <w:tcPr>
            <w:tcW w:w="756" w:type="pct"/>
            <w:tcBorders>
              <w:top w:val="nil"/>
              <w:left w:val="nil"/>
              <w:bottom w:val="single" w:sz="8" w:space="0" w:color="000000"/>
              <w:right w:val="single" w:sz="4" w:space="0" w:color="000000"/>
            </w:tcBorders>
            <w:shd w:val="clear" w:color="auto" w:fill="auto"/>
            <w:vAlign w:val="center"/>
          </w:tcPr>
          <w:p w14:paraId="2A08E4E6"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18,63%</w:t>
            </w:r>
          </w:p>
        </w:tc>
        <w:tc>
          <w:tcPr>
            <w:tcW w:w="776" w:type="pct"/>
            <w:tcBorders>
              <w:top w:val="nil"/>
              <w:left w:val="nil"/>
              <w:bottom w:val="single" w:sz="8" w:space="0" w:color="000000"/>
              <w:right w:val="single" w:sz="4" w:space="0" w:color="000000"/>
            </w:tcBorders>
            <w:shd w:val="clear" w:color="auto" w:fill="auto"/>
            <w:vAlign w:val="center"/>
          </w:tcPr>
          <w:p w14:paraId="32421C8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61,32%</w:t>
            </w:r>
          </w:p>
        </w:tc>
        <w:tc>
          <w:tcPr>
            <w:tcW w:w="688" w:type="pct"/>
            <w:tcBorders>
              <w:top w:val="nil"/>
              <w:left w:val="nil"/>
              <w:bottom w:val="single" w:sz="8" w:space="0" w:color="000000"/>
              <w:right w:val="single" w:sz="4" w:space="0" w:color="000000"/>
            </w:tcBorders>
            <w:shd w:val="clear" w:color="auto" w:fill="auto"/>
            <w:vAlign w:val="center"/>
          </w:tcPr>
          <w:p w14:paraId="2D4E34A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717" w:type="pct"/>
            <w:tcBorders>
              <w:top w:val="nil"/>
              <w:left w:val="nil"/>
              <w:bottom w:val="single" w:sz="8" w:space="0" w:color="000000"/>
              <w:right w:val="nil"/>
            </w:tcBorders>
            <w:shd w:val="clear" w:color="auto" w:fill="auto"/>
            <w:vAlign w:val="center"/>
          </w:tcPr>
          <w:p w14:paraId="2C45AB1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28" w:type="pct"/>
            <w:tcBorders>
              <w:top w:val="nil"/>
              <w:left w:val="single" w:sz="4" w:space="0" w:color="000000"/>
              <w:bottom w:val="single" w:sz="4" w:space="0" w:color="000000"/>
              <w:right w:val="nil"/>
            </w:tcBorders>
            <w:shd w:val="clear" w:color="auto" w:fill="auto"/>
            <w:vAlign w:val="center"/>
          </w:tcPr>
          <w:p w14:paraId="07C0E6A6"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bl>
    <w:p w14:paraId="45551F34" w14:textId="77777777" w:rsidR="00930D82" w:rsidRPr="00F9587A" w:rsidRDefault="00930D82"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pelos autores com base na pesquisa.</w:t>
      </w:r>
    </w:p>
    <w:p w14:paraId="6CFA889C" w14:textId="77777777" w:rsidR="00930D82" w:rsidRDefault="00930D82" w:rsidP="00AD5592">
      <w:pPr>
        <w:widowControl w:val="0"/>
        <w:pBdr>
          <w:top w:val="nil"/>
          <w:left w:val="nil"/>
          <w:bottom w:val="nil"/>
          <w:right w:val="nil"/>
          <w:between w:val="nil"/>
        </w:pBdr>
        <w:jc w:val="both"/>
        <w:rPr>
          <w:rFonts w:ascii="Times New Roman" w:eastAsia="Times New Roman" w:hAnsi="Times New Roman" w:cs="Times New Roman"/>
        </w:rPr>
      </w:pPr>
    </w:p>
    <w:p w14:paraId="292DB4C4" w14:textId="6D9AF6CA"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Os dados de São João do </w:t>
      </w:r>
      <w:proofErr w:type="spellStart"/>
      <w:r w:rsidRPr="00F05EF7">
        <w:rPr>
          <w:rFonts w:ascii="Times New Roman" w:eastAsia="Times New Roman" w:hAnsi="Times New Roman" w:cs="Times New Roman"/>
        </w:rPr>
        <w:t>Polêsine</w:t>
      </w:r>
      <w:proofErr w:type="spellEnd"/>
      <w:r w:rsidRPr="00F05EF7">
        <w:rPr>
          <w:rFonts w:ascii="Times New Roman" w:eastAsia="Times New Roman" w:hAnsi="Times New Roman" w:cs="Times New Roman"/>
        </w:rPr>
        <w:t xml:space="preserve"> mostram que a fonte de recurso mais utilizada para a abertura dos créditos adicionais também é a anulação de dotação. Essa fonte de recurso representou 72,97% dos créditos adicionais abertos em 2014, 63,59% em 2015, 80,92% em 2016, 78,79% em 2017 e 61,32% em 2018.</w:t>
      </w:r>
    </w:p>
    <w:p w14:paraId="597C94CD" w14:textId="77777777"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Quanto às demais fontes, tem-se que os valores movimentados como fonte de excesso de arrecadação representaram um mínimo de 4,33% (2016) e um máximo 18,63% (2018) dos créditos adicionais abertos no período, enquanto o superávit financeiro representou um mínimo de 12,60% (2016) e um máximo de 25,99% (2015) no período. No tocante às operações de crédito, não houve ocorrência no período de 2014 a 2018, enquanto a utilização de outras fontes deu-se apenas no exercício financeiro de 2016, a qual correspondeu a 2,15% do total do valor de créditos adicionais abertos no respectivo ano.</w:t>
      </w:r>
    </w:p>
    <w:p w14:paraId="1B655A66" w14:textId="38CA02DD" w:rsidR="00821527" w:rsidRDefault="0010504B" w:rsidP="00AD5592">
      <w:pPr>
        <w:widowControl w:val="0"/>
        <w:jc w:val="both"/>
        <w:rPr>
          <w:rFonts w:ascii="Times New Roman" w:eastAsia="Times New Roman" w:hAnsi="Times New Roman" w:cs="Times New Roman"/>
        </w:rPr>
      </w:pPr>
      <w:r w:rsidRPr="00F05EF7">
        <w:rPr>
          <w:rFonts w:ascii="Times New Roman" w:eastAsia="Times New Roman" w:hAnsi="Times New Roman" w:cs="Times New Roman"/>
        </w:rPr>
        <w:tab/>
        <w:t xml:space="preserve">Por fim, a </w:t>
      </w:r>
      <w:r w:rsidR="0057322D" w:rsidRPr="006026C8">
        <w:rPr>
          <w:rFonts w:ascii="Times New Roman" w:eastAsia="Times New Roman" w:hAnsi="Times New Roman" w:cs="Times New Roman"/>
        </w:rPr>
        <w:t>T</w:t>
      </w:r>
      <w:r w:rsidRPr="006026C8">
        <w:rPr>
          <w:rFonts w:ascii="Times New Roman" w:eastAsia="Times New Roman" w:hAnsi="Times New Roman" w:cs="Times New Roman"/>
        </w:rPr>
        <w:t>abela</w:t>
      </w:r>
      <w:r w:rsidR="00C458AA" w:rsidRPr="00F05EF7">
        <w:rPr>
          <w:rFonts w:ascii="Times New Roman" w:eastAsia="Times New Roman" w:hAnsi="Times New Roman" w:cs="Times New Roman"/>
        </w:rPr>
        <w:t xml:space="preserve"> </w:t>
      </w:r>
      <w:r w:rsidR="00051C18" w:rsidRPr="00F05EF7">
        <w:rPr>
          <w:rFonts w:ascii="Times New Roman" w:eastAsia="Times New Roman" w:hAnsi="Times New Roman" w:cs="Times New Roman"/>
        </w:rPr>
        <w:t>9</w:t>
      </w:r>
      <w:r w:rsidR="00C458AA" w:rsidRPr="00F05EF7">
        <w:rPr>
          <w:rFonts w:ascii="Times New Roman" w:eastAsia="Times New Roman" w:hAnsi="Times New Roman" w:cs="Times New Roman"/>
        </w:rPr>
        <w:t xml:space="preserve"> </w:t>
      </w:r>
      <w:r w:rsidR="00F16B13" w:rsidRPr="00F05EF7">
        <w:rPr>
          <w:rFonts w:ascii="Times New Roman" w:eastAsia="Times New Roman" w:hAnsi="Times New Roman" w:cs="Times New Roman"/>
        </w:rPr>
        <w:t>expressa</w:t>
      </w:r>
      <w:r w:rsidRPr="00F05EF7">
        <w:rPr>
          <w:rFonts w:ascii="Times New Roman" w:eastAsia="Times New Roman" w:hAnsi="Times New Roman" w:cs="Times New Roman"/>
        </w:rPr>
        <w:t xml:space="preserve"> as fontes de recurso utilizadas para abertura de créditos adicionais em </w:t>
      </w:r>
      <w:r w:rsidR="00C458AA" w:rsidRPr="00F05EF7">
        <w:rPr>
          <w:rFonts w:ascii="Times New Roman" w:eastAsia="Times New Roman" w:hAnsi="Times New Roman" w:cs="Times New Roman"/>
        </w:rPr>
        <w:t>percentuais</w:t>
      </w:r>
      <w:r w:rsidRPr="00F05EF7">
        <w:rPr>
          <w:rFonts w:ascii="Times New Roman" w:eastAsia="Times New Roman" w:hAnsi="Times New Roman" w:cs="Times New Roman"/>
        </w:rPr>
        <w:t>, no período de 2014 a 2018, do município de Silveira Martins.</w:t>
      </w:r>
    </w:p>
    <w:p w14:paraId="594CB2F4" w14:textId="77777777" w:rsidR="00930D82" w:rsidRPr="00F05EF7" w:rsidRDefault="00930D82" w:rsidP="00AD5592">
      <w:pPr>
        <w:widowControl w:val="0"/>
        <w:jc w:val="both"/>
        <w:rPr>
          <w:rFonts w:ascii="Times New Roman" w:eastAsia="Times New Roman" w:hAnsi="Times New Roman" w:cs="Times New Roman"/>
        </w:rPr>
      </w:pPr>
    </w:p>
    <w:p w14:paraId="3EDADCC3" w14:textId="660FE3DB" w:rsidR="00821527" w:rsidRPr="00AF0520" w:rsidRDefault="0010504B" w:rsidP="00AF0520">
      <w:pPr>
        <w:widowControl w:val="0"/>
        <w:pBdr>
          <w:top w:val="nil"/>
          <w:left w:val="nil"/>
          <w:bottom w:val="nil"/>
          <w:right w:val="nil"/>
          <w:between w:val="nil"/>
        </w:pBdr>
        <w:jc w:val="center"/>
        <w:rPr>
          <w:rFonts w:ascii="Times New Roman" w:eastAsia="Times New Roman" w:hAnsi="Times New Roman" w:cs="Times New Roman"/>
          <w:b/>
          <w:bCs/>
        </w:rPr>
      </w:pPr>
      <w:r w:rsidRPr="00AF0520">
        <w:rPr>
          <w:rFonts w:ascii="Times New Roman" w:eastAsia="Times New Roman" w:hAnsi="Times New Roman" w:cs="Times New Roman"/>
          <w:b/>
          <w:bCs/>
        </w:rPr>
        <w:t xml:space="preserve">Tabela </w:t>
      </w:r>
      <w:r w:rsidR="00051C18" w:rsidRPr="00AF0520">
        <w:rPr>
          <w:rFonts w:ascii="Times New Roman" w:eastAsia="Times New Roman" w:hAnsi="Times New Roman" w:cs="Times New Roman"/>
          <w:b/>
          <w:bCs/>
        </w:rPr>
        <w:t>9</w:t>
      </w:r>
      <w:r w:rsidRPr="00AF0520">
        <w:rPr>
          <w:rFonts w:ascii="Times New Roman" w:eastAsia="Times New Roman" w:hAnsi="Times New Roman" w:cs="Times New Roman"/>
          <w:b/>
          <w:bCs/>
        </w:rPr>
        <w:t xml:space="preserve"> – Fontes dos créditos adicionais de Silveira Martins, em percentual</w:t>
      </w:r>
    </w:p>
    <w:tbl>
      <w:tblPr>
        <w:tblStyle w:val="aff1"/>
        <w:tblW w:w="5000" w:type="pct"/>
        <w:jc w:val="right"/>
        <w:tblInd w:w="0" w:type="dxa"/>
        <w:tblLook w:val="0400" w:firstRow="0" w:lastRow="0" w:firstColumn="0" w:lastColumn="0" w:noHBand="0" w:noVBand="1"/>
      </w:tblPr>
      <w:tblGrid>
        <w:gridCol w:w="1137"/>
        <w:gridCol w:w="1401"/>
        <w:gridCol w:w="1401"/>
        <w:gridCol w:w="1401"/>
        <w:gridCol w:w="1399"/>
        <w:gridCol w:w="1245"/>
        <w:gridCol w:w="1087"/>
      </w:tblGrid>
      <w:tr w:rsidR="00F05EF7" w:rsidRPr="00F05EF7" w14:paraId="3A4F2E74" w14:textId="77777777" w:rsidTr="00930D82">
        <w:trPr>
          <w:trHeight w:val="240"/>
          <w:jc w:val="right"/>
        </w:trPr>
        <w:tc>
          <w:tcPr>
            <w:tcW w:w="627" w:type="pct"/>
            <w:vMerge w:val="restart"/>
            <w:tcBorders>
              <w:top w:val="single" w:sz="8" w:space="0" w:color="000000"/>
              <w:left w:val="nil"/>
              <w:bottom w:val="single" w:sz="8" w:space="0" w:color="000000"/>
              <w:right w:val="single" w:sz="8" w:space="0" w:color="000000"/>
            </w:tcBorders>
            <w:shd w:val="clear" w:color="auto" w:fill="auto"/>
            <w:vAlign w:val="center"/>
          </w:tcPr>
          <w:p w14:paraId="6D53EC1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Exercício financeiro</w:t>
            </w:r>
          </w:p>
        </w:tc>
        <w:tc>
          <w:tcPr>
            <w:tcW w:w="77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954AF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Superávit financeiro</w:t>
            </w:r>
          </w:p>
        </w:tc>
        <w:tc>
          <w:tcPr>
            <w:tcW w:w="77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6964C2"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Excesso de arrecadação</w:t>
            </w:r>
          </w:p>
        </w:tc>
        <w:tc>
          <w:tcPr>
            <w:tcW w:w="77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4B327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Anulação de dotação</w:t>
            </w:r>
          </w:p>
        </w:tc>
        <w:tc>
          <w:tcPr>
            <w:tcW w:w="7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DB6D07"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Operação de crédito</w:t>
            </w:r>
          </w:p>
        </w:tc>
        <w:tc>
          <w:tcPr>
            <w:tcW w:w="686" w:type="pct"/>
            <w:vMerge w:val="restart"/>
            <w:tcBorders>
              <w:top w:val="single" w:sz="8" w:space="0" w:color="000000"/>
              <w:left w:val="single" w:sz="8" w:space="0" w:color="000000"/>
              <w:bottom w:val="single" w:sz="8" w:space="0" w:color="000000"/>
              <w:right w:val="nil"/>
            </w:tcBorders>
            <w:shd w:val="clear" w:color="auto" w:fill="auto"/>
            <w:vAlign w:val="center"/>
          </w:tcPr>
          <w:p w14:paraId="6EF253C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Outros</w:t>
            </w:r>
          </w:p>
        </w:tc>
        <w:tc>
          <w:tcPr>
            <w:tcW w:w="599" w:type="pct"/>
            <w:vMerge w:val="restart"/>
            <w:tcBorders>
              <w:top w:val="single" w:sz="8" w:space="0" w:color="000000"/>
              <w:left w:val="single" w:sz="8" w:space="0" w:color="000000"/>
              <w:bottom w:val="nil"/>
              <w:right w:val="nil"/>
            </w:tcBorders>
            <w:shd w:val="clear" w:color="auto" w:fill="auto"/>
            <w:vAlign w:val="center"/>
          </w:tcPr>
          <w:p w14:paraId="6184AF8A"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Total</w:t>
            </w:r>
          </w:p>
        </w:tc>
      </w:tr>
      <w:tr w:rsidR="00F05EF7" w:rsidRPr="00F05EF7" w14:paraId="0FDC8288" w14:textId="77777777" w:rsidTr="00930D82">
        <w:trPr>
          <w:trHeight w:val="264"/>
          <w:jc w:val="right"/>
        </w:trPr>
        <w:tc>
          <w:tcPr>
            <w:tcW w:w="627" w:type="pct"/>
            <w:vMerge/>
            <w:tcBorders>
              <w:top w:val="single" w:sz="8" w:space="0" w:color="000000"/>
              <w:left w:val="nil"/>
              <w:bottom w:val="single" w:sz="8" w:space="0" w:color="000000"/>
              <w:right w:val="single" w:sz="8" w:space="0" w:color="000000"/>
            </w:tcBorders>
            <w:shd w:val="clear" w:color="auto" w:fill="auto"/>
            <w:vAlign w:val="center"/>
          </w:tcPr>
          <w:p w14:paraId="0AB5F282"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7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251AF4"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7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87BF30"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7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BE3EEB"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77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80C8B4"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686" w:type="pct"/>
            <w:vMerge/>
            <w:tcBorders>
              <w:top w:val="single" w:sz="8" w:space="0" w:color="000000"/>
              <w:left w:val="single" w:sz="8" w:space="0" w:color="000000"/>
              <w:bottom w:val="single" w:sz="8" w:space="0" w:color="000000"/>
              <w:right w:val="nil"/>
            </w:tcBorders>
            <w:shd w:val="clear" w:color="auto" w:fill="auto"/>
            <w:vAlign w:val="center"/>
          </w:tcPr>
          <w:p w14:paraId="15A05EE9"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c>
          <w:tcPr>
            <w:tcW w:w="599" w:type="pct"/>
            <w:vMerge/>
            <w:tcBorders>
              <w:top w:val="single" w:sz="8" w:space="0" w:color="000000"/>
              <w:left w:val="single" w:sz="8" w:space="0" w:color="000000"/>
              <w:bottom w:val="nil"/>
              <w:right w:val="nil"/>
            </w:tcBorders>
            <w:shd w:val="clear" w:color="auto" w:fill="auto"/>
            <w:vAlign w:val="center"/>
          </w:tcPr>
          <w:p w14:paraId="4465C8FE" w14:textId="77777777" w:rsidR="00821527" w:rsidRPr="00F05EF7" w:rsidRDefault="00821527" w:rsidP="00AD5592">
            <w:pPr>
              <w:widowControl w:val="0"/>
              <w:pBdr>
                <w:top w:val="nil"/>
                <w:left w:val="nil"/>
                <w:bottom w:val="nil"/>
                <w:right w:val="nil"/>
                <w:between w:val="nil"/>
              </w:pBdr>
              <w:rPr>
                <w:rFonts w:ascii="Times New Roman" w:eastAsia="Times New Roman" w:hAnsi="Times New Roman" w:cs="Times New Roman"/>
                <w:b/>
                <w:sz w:val="20"/>
                <w:szCs w:val="20"/>
              </w:rPr>
            </w:pPr>
          </w:p>
        </w:tc>
      </w:tr>
      <w:tr w:rsidR="00F05EF7" w:rsidRPr="00F05EF7" w14:paraId="63323EA5" w14:textId="77777777" w:rsidTr="00930D82">
        <w:trPr>
          <w:trHeight w:val="260"/>
          <w:jc w:val="right"/>
        </w:trPr>
        <w:tc>
          <w:tcPr>
            <w:tcW w:w="627" w:type="pct"/>
            <w:tcBorders>
              <w:top w:val="nil"/>
              <w:left w:val="nil"/>
              <w:bottom w:val="single" w:sz="8" w:space="0" w:color="000000"/>
              <w:right w:val="single" w:sz="8" w:space="0" w:color="000000"/>
            </w:tcBorders>
            <w:shd w:val="clear" w:color="auto" w:fill="auto"/>
            <w:vAlign w:val="center"/>
          </w:tcPr>
          <w:p w14:paraId="19884F1C"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2014</w:t>
            </w:r>
          </w:p>
        </w:tc>
        <w:tc>
          <w:tcPr>
            <w:tcW w:w="772" w:type="pct"/>
            <w:tcBorders>
              <w:top w:val="nil"/>
              <w:left w:val="nil"/>
              <w:bottom w:val="single" w:sz="8" w:space="0" w:color="000000"/>
              <w:right w:val="single" w:sz="8" w:space="0" w:color="000000"/>
            </w:tcBorders>
            <w:shd w:val="clear" w:color="auto" w:fill="auto"/>
            <w:vAlign w:val="center"/>
          </w:tcPr>
          <w:p w14:paraId="1D4FA563"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7,92%</w:t>
            </w:r>
          </w:p>
        </w:tc>
        <w:tc>
          <w:tcPr>
            <w:tcW w:w="772" w:type="pct"/>
            <w:tcBorders>
              <w:top w:val="nil"/>
              <w:left w:val="nil"/>
              <w:bottom w:val="single" w:sz="8" w:space="0" w:color="000000"/>
              <w:right w:val="single" w:sz="8" w:space="0" w:color="000000"/>
            </w:tcBorders>
            <w:shd w:val="clear" w:color="auto" w:fill="auto"/>
            <w:vAlign w:val="center"/>
          </w:tcPr>
          <w:p w14:paraId="138893F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47,89%</w:t>
            </w:r>
          </w:p>
        </w:tc>
        <w:tc>
          <w:tcPr>
            <w:tcW w:w="772" w:type="pct"/>
            <w:tcBorders>
              <w:top w:val="nil"/>
              <w:left w:val="nil"/>
              <w:bottom w:val="single" w:sz="8" w:space="0" w:color="000000"/>
              <w:right w:val="single" w:sz="8" w:space="0" w:color="000000"/>
            </w:tcBorders>
            <w:shd w:val="clear" w:color="auto" w:fill="auto"/>
            <w:vAlign w:val="center"/>
          </w:tcPr>
          <w:p w14:paraId="79A2469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44,19%</w:t>
            </w:r>
          </w:p>
        </w:tc>
        <w:tc>
          <w:tcPr>
            <w:tcW w:w="771" w:type="pct"/>
            <w:tcBorders>
              <w:top w:val="nil"/>
              <w:left w:val="nil"/>
              <w:bottom w:val="single" w:sz="8" w:space="0" w:color="000000"/>
              <w:right w:val="single" w:sz="8" w:space="0" w:color="000000"/>
            </w:tcBorders>
            <w:shd w:val="clear" w:color="auto" w:fill="auto"/>
            <w:vAlign w:val="center"/>
          </w:tcPr>
          <w:p w14:paraId="617C295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86" w:type="pct"/>
            <w:tcBorders>
              <w:top w:val="nil"/>
              <w:left w:val="nil"/>
              <w:bottom w:val="single" w:sz="8" w:space="0" w:color="000000"/>
              <w:right w:val="nil"/>
            </w:tcBorders>
            <w:shd w:val="clear" w:color="auto" w:fill="auto"/>
            <w:vAlign w:val="center"/>
          </w:tcPr>
          <w:p w14:paraId="7349BD19"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599" w:type="pct"/>
            <w:tcBorders>
              <w:top w:val="single" w:sz="4" w:space="0" w:color="000000"/>
              <w:left w:val="single" w:sz="4" w:space="0" w:color="000000"/>
              <w:bottom w:val="single" w:sz="4" w:space="0" w:color="000000"/>
              <w:right w:val="nil"/>
            </w:tcBorders>
            <w:shd w:val="clear" w:color="auto" w:fill="auto"/>
            <w:vAlign w:val="center"/>
          </w:tcPr>
          <w:p w14:paraId="6EE85C8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4464AA33" w14:textId="77777777" w:rsidTr="00930D82">
        <w:trPr>
          <w:trHeight w:val="260"/>
          <w:jc w:val="right"/>
        </w:trPr>
        <w:tc>
          <w:tcPr>
            <w:tcW w:w="627" w:type="pct"/>
            <w:tcBorders>
              <w:top w:val="nil"/>
              <w:left w:val="nil"/>
              <w:bottom w:val="single" w:sz="8" w:space="0" w:color="000000"/>
              <w:right w:val="single" w:sz="8" w:space="0" w:color="000000"/>
            </w:tcBorders>
            <w:shd w:val="clear" w:color="auto" w:fill="auto"/>
            <w:vAlign w:val="center"/>
          </w:tcPr>
          <w:p w14:paraId="199A222D"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2015</w:t>
            </w:r>
          </w:p>
        </w:tc>
        <w:tc>
          <w:tcPr>
            <w:tcW w:w="772" w:type="pct"/>
            <w:tcBorders>
              <w:top w:val="nil"/>
              <w:left w:val="nil"/>
              <w:bottom w:val="single" w:sz="8" w:space="0" w:color="000000"/>
              <w:right w:val="single" w:sz="8" w:space="0" w:color="000000"/>
            </w:tcBorders>
            <w:shd w:val="clear" w:color="auto" w:fill="auto"/>
            <w:vAlign w:val="center"/>
          </w:tcPr>
          <w:p w14:paraId="491DD0D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11,05%</w:t>
            </w:r>
          </w:p>
        </w:tc>
        <w:tc>
          <w:tcPr>
            <w:tcW w:w="772" w:type="pct"/>
            <w:tcBorders>
              <w:top w:val="nil"/>
              <w:left w:val="nil"/>
              <w:bottom w:val="single" w:sz="8" w:space="0" w:color="000000"/>
              <w:right w:val="single" w:sz="8" w:space="0" w:color="000000"/>
            </w:tcBorders>
            <w:shd w:val="clear" w:color="auto" w:fill="auto"/>
            <w:vAlign w:val="center"/>
          </w:tcPr>
          <w:p w14:paraId="17E1C6A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22,18%</w:t>
            </w:r>
          </w:p>
        </w:tc>
        <w:tc>
          <w:tcPr>
            <w:tcW w:w="772" w:type="pct"/>
            <w:tcBorders>
              <w:top w:val="nil"/>
              <w:left w:val="nil"/>
              <w:bottom w:val="single" w:sz="8" w:space="0" w:color="000000"/>
              <w:right w:val="single" w:sz="8" w:space="0" w:color="000000"/>
            </w:tcBorders>
            <w:shd w:val="clear" w:color="auto" w:fill="auto"/>
            <w:vAlign w:val="center"/>
          </w:tcPr>
          <w:p w14:paraId="4B8F1337"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66,77%</w:t>
            </w:r>
          </w:p>
        </w:tc>
        <w:tc>
          <w:tcPr>
            <w:tcW w:w="771" w:type="pct"/>
            <w:tcBorders>
              <w:top w:val="nil"/>
              <w:left w:val="nil"/>
              <w:bottom w:val="single" w:sz="8" w:space="0" w:color="000000"/>
              <w:right w:val="single" w:sz="8" w:space="0" w:color="000000"/>
            </w:tcBorders>
            <w:shd w:val="clear" w:color="auto" w:fill="auto"/>
            <w:vAlign w:val="center"/>
          </w:tcPr>
          <w:p w14:paraId="4AE10C4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86" w:type="pct"/>
            <w:tcBorders>
              <w:top w:val="nil"/>
              <w:left w:val="nil"/>
              <w:bottom w:val="single" w:sz="8" w:space="0" w:color="000000"/>
              <w:right w:val="nil"/>
            </w:tcBorders>
            <w:shd w:val="clear" w:color="auto" w:fill="auto"/>
            <w:vAlign w:val="center"/>
          </w:tcPr>
          <w:p w14:paraId="36A1F8A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599" w:type="pct"/>
            <w:tcBorders>
              <w:top w:val="nil"/>
              <w:left w:val="single" w:sz="4" w:space="0" w:color="000000"/>
              <w:bottom w:val="single" w:sz="4" w:space="0" w:color="000000"/>
              <w:right w:val="nil"/>
            </w:tcBorders>
            <w:shd w:val="clear" w:color="auto" w:fill="auto"/>
            <w:vAlign w:val="center"/>
          </w:tcPr>
          <w:p w14:paraId="7ECE1E13"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1ACA61D1" w14:textId="77777777" w:rsidTr="00930D82">
        <w:trPr>
          <w:trHeight w:val="260"/>
          <w:jc w:val="right"/>
        </w:trPr>
        <w:tc>
          <w:tcPr>
            <w:tcW w:w="627" w:type="pct"/>
            <w:tcBorders>
              <w:top w:val="nil"/>
              <w:left w:val="nil"/>
              <w:bottom w:val="single" w:sz="8" w:space="0" w:color="000000"/>
              <w:right w:val="single" w:sz="8" w:space="0" w:color="000000"/>
            </w:tcBorders>
            <w:shd w:val="clear" w:color="auto" w:fill="auto"/>
            <w:vAlign w:val="center"/>
          </w:tcPr>
          <w:p w14:paraId="64E2448F"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2016</w:t>
            </w:r>
          </w:p>
        </w:tc>
        <w:tc>
          <w:tcPr>
            <w:tcW w:w="772" w:type="pct"/>
            <w:tcBorders>
              <w:top w:val="nil"/>
              <w:left w:val="nil"/>
              <w:bottom w:val="single" w:sz="8" w:space="0" w:color="000000"/>
              <w:right w:val="single" w:sz="8" w:space="0" w:color="000000"/>
            </w:tcBorders>
            <w:shd w:val="clear" w:color="auto" w:fill="auto"/>
            <w:vAlign w:val="center"/>
          </w:tcPr>
          <w:p w14:paraId="576D2094"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13,70%</w:t>
            </w:r>
          </w:p>
        </w:tc>
        <w:tc>
          <w:tcPr>
            <w:tcW w:w="772" w:type="pct"/>
            <w:tcBorders>
              <w:top w:val="nil"/>
              <w:left w:val="nil"/>
              <w:bottom w:val="single" w:sz="8" w:space="0" w:color="000000"/>
              <w:right w:val="single" w:sz="8" w:space="0" w:color="000000"/>
            </w:tcBorders>
            <w:shd w:val="clear" w:color="auto" w:fill="auto"/>
            <w:vAlign w:val="center"/>
          </w:tcPr>
          <w:p w14:paraId="1087A68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25,23%</w:t>
            </w:r>
          </w:p>
        </w:tc>
        <w:tc>
          <w:tcPr>
            <w:tcW w:w="772" w:type="pct"/>
            <w:tcBorders>
              <w:top w:val="nil"/>
              <w:left w:val="nil"/>
              <w:bottom w:val="single" w:sz="8" w:space="0" w:color="000000"/>
              <w:right w:val="single" w:sz="8" w:space="0" w:color="000000"/>
            </w:tcBorders>
            <w:shd w:val="clear" w:color="auto" w:fill="auto"/>
            <w:vAlign w:val="center"/>
          </w:tcPr>
          <w:p w14:paraId="3F0D78C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51,19%</w:t>
            </w:r>
          </w:p>
        </w:tc>
        <w:tc>
          <w:tcPr>
            <w:tcW w:w="771" w:type="pct"/>
            <w:tcBorders>
              <w:top w:val="nil"/>
              <w:left w:val="nil"/>
              <w:bottom w:val="single" w:sz="8" w:space="0" w:color="000000"/>
              <w:right w:val="single" w:sz="8" w:space="0" w:color="000000"/>
            </w:tcBorders>
            <w:shd w:val="clear" w:color="auto" w:fill="auto"/>
            <w:vAlign w:val="center"/>
          </w:tcPr>
          <w:p w14:paraId="02DFCA1C"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9,88%</w:t>
            </w:r>
          </w:p>
        </w:tc>
        <w:tc>
          <w:tcPr>
            <w:tcW w:w="686" w:type="pct"/>
            <w:tcBorders>
              <w:top w:val="nil"/>
              <w:left w:val="nil"/>
              <w:bottom w:val="single" w:sz="8" w:space="0" w:color="000000"/>
              <w:right w:val="nil"/>
            </w:tcBorders>
            <w:shd w:val="clear" w:color="auto" w:fill="auto"/>
            <w:vAlign w:val="center"/>
          </w:tcPr>
          <w:p w14:paraId="5E5936C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599" w:type="pct"/>
            <w:tcBorders>
              <w:top w:val="nil"/>
              <w:left w:val="single" w:sz="4" w:space="0" w:color="000000"/>
              <w:bottom w:val="single" w:sz="4" w:space="0" w:color="000000"/>
              <w:right w:val="nil"/>
            </w:tcBorders>
            <w:shd w:val="clear" w:color="auto" w:fill="auto"/>
            <w:vAlign w:val="center"/>
          </w:tcPr>
          <w:p w14:paraId="1F97BA1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4966E9AD" w14:textId="77777777" w:rsidTr="00930D82">
        <w:trPr>
          <w:trHeight w:val="260"/>
          <w:jc w:val="right"/>
        </w:trPr>
        <w:tc>
          <w:tcPr>
            <w:tcW w:w="627" w:type="pct"/>
            <w:tcBorders>
              <w:top w:val="nil"/>
              <w:left w:val="nil"/>
              <w:bottom w:val="single" w:sz="8" w:space="0" w:color="000000"/>
              <w:right w:val="single" w:sz="8" w:space="0" w:color="000000"/>
            </w:tcBorders>
            <w:shd w:val="clear" w:color="auto" w:fill="auto"/>
            <w:vAlign w:val="center"/>
          </w:tcPr>
          <w:p w14:paraId="61174C84"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2017</w:t>
            </w:r>
          </w:p>
        </w:tc>
        <w:tc>
          <w:tcPr>
            <w:tcW w:w="772" w:type="pct"/>
            <w:tcBorders>
              <w:top w:val="nil"/>
              <w:left w:val="nil"/>
              <w:bottom w:val="single" w:sz="8" w:space="0" w:color="000000"/>
              <w:right w:val="single" w:sz="8" w:space="0" w:color="000000"/>
            </w:tcBorders>
            <w:shd w:val="clear" w:color="auto" w:fill="auto"/>
            <w:vAlign w:val="center"/>
          </w:tcPr>
          <w:p w14:paraId="55DF49A1"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37,64%</w:t>
            </w:r>
          </w:p>
        </w:tc>
        <w:tc>
          <w:tcPr>
            <w:tcW w:w="772" w:type="pct"/>
            <w:tcBorders>
              <w:top w:val="nil"/>
              <w:left w:val="nil"/>
              <w:bottom w:val="single" w:sz="8" w:space="0" w:color="000000"/>
              <w:right w:val="single" w:sz="8" w:space="0" w:color="000000"/>
            </w:tcBorders>
            <w:shd w:val="clear" w:color="auto" w:fill="auto"/>
            <w:vAlign w:val="center"/>
          </w:tcPr>
          <w:p w14:paraId="721891FB"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20,51%</w:t>
            </w:r>
          </w:p>
        </w:tc>
        <w:tc>
          <w:tcPr>
            <w:tcW w:w="772" w:type="pct"/>
            <w:tcBorders>
              <w:top w:val="nil"/>
              <w:left w:val="nil"/>
              <w:bottom w:val="single" w:sz="8" w:space="0" w:color="000000"/>
              <w:right w:val="single" w:sz="8" w:space="0" w:color="000000"/>
            </w:tcBorders>
            <w:shd w:val="clear" w:color="auto" w:fill="auto"/>
            <w:vAlign w:val="center"/>
          </w:tcPr>
          <w:p w14:paraId="33A54AF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41,84%</w:t>
            </w:r>
          </w:p>
        </w:tc>
        <w:tc>
          <w:tcPr>
            <w:tcW w:w="771" w:type="pct"/>
            <w:tcBorders>
              <w:top w:val="nil"/>
              <w:left w:val="nil"/>
              <w:bottom w:val="single" w:sz="8" w:space="0" w:color="000000"/>
              <w:right w:val="single" w:sz="8" w:space="0" w:color="000000"/>
            </w:tcBorders>
            <w:shd w:val="clear" w:color="auto" w:fill="auto"/>
            <w:vAlign w:val="center"/>
          </w:tcPr>
          <w:p w14:paraId="673A88AD"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86" w:type="pct"/>
            <w:tcBorders>
              <w:top w:val="nil"/>
              <w:left w:val="nil"/>
              <w:bottom w:val="single" w:sz="8" w:space="0" w:color="000000"/>
              <w:right w:val="nil"/>
            </w:tcBorders>
            <w:shd w:val="clear" w:color="auto" w:fill="auto"/>
            <w:vAlign w:val="center"/>
          </w:tcPr>
          <w:p w14:paraId="4B9A3A9A"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599" w:type="pct"/>
            <w:tcBorders>
              <w:top w:val="nil"/>
              <w:left w:val="single" w:sz="4" w:space="0" w:color="000000"/>
              <w:bottom w:val="single" w:sz="4" w:space="0" w:color="000000"/>
              <w:right w:val="nil"/>
            </w:tcBorders>
            <w:shd w:val="clear" w:color="auto" w:fill="auto"/>
            <w:vAlign w:val="center"/>
          </w:tcPr>
          <w:p w14:paraId="76C6F30B"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r w:rsidR="00F05EF7" w:rsidRPr="00F05EF7" w14:paraId="1A95C901" w14:textId="77777777" w:rsidTr="00930D82">
        <w:trPr>
          <w:trHeight w:val="260"/>
          <w:jc w:val="right"/>
        </w:trPr>
        <w:tc>
          <w:tcPr>
            <w:tcW w:w="627" w:type="pct"/>
            <w:tcBorders>
              <w:top w:val="nil"/>
              <w:left w:val="nil"/>
              <w:bottom w:val="single" w:sz="8" w:space="0" w:color="000000"/>
              <w:right w:val="single" w:sz="8" w:space="0" w:color="000000"/>
            </w:tcBorders>
            <w:shd w:val="clear" w:color="auto" w:fill="auto"/>
            <w:vAlign w:val="center"/>
          </w:tcPr>
          <w:p w14:paraId="0C1F7548"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2018</w:t>
            </w:r>
          </w:p>
        </w:tc>
        <w:tc>
          <w:tcPr>
            <w:tcW w:w="772" w:type="pct"/>
            <w:tcBorders>
              <w:top w:val="nil"/>
              <w:left w:val="nil"/>
              <w:bottom w:val="single" w:sz="8" w:space="0" w:color="000000"/>
              <w:right w:val="single" w:sz="8" w:space="0" w:color="000000"/>
            </w:tcBorders>
            <w:shd w:val="clear" w:color="auto" w:fill="auto"/>
            <w:vAlign w:val="center"/>
          </w:tcPr>
          <w:p w14:paraId="2DE3000F"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28,39%</w:t>
            </w:r>
          </w:p>
        </w:tc>
        <w:tc>
          <w:tcPr>
            <w:tcW w:w="772" w:type="pct"/>
            <w:tcBorders>
              <w:top w:val="nil"/>
              <w:left w:val="nil"/>
              <w:bottom w:val="single" w:sz="8" w:space="0" w:color="000000"/>
              <w:right w:val="single" w:sz="8" w:space="0" w:color="000000"/>
            </w:tcBorders>
            <w:shd w:val="clear" w:color="auto" w:fill="auto"/>
            <w:vAlign w:val="center"/>
          </w:tcPr>
          <w:p w14:paraId="7885FC10"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40,80%</w:t>
            </w:r>
          </w:p>
        </w:tc>
        <w:tc>
          <w:tcPr>
            <w:tcW w:w="772" w:type="pct"/>
            <w:tcBorders>
              <w:top w:val="nil"/>
              <w:left w:val="nil"/>
              <w:bottom w:val="single" w:sz="8" w:space="0" w:color="000000"/>
              <w:right w:val="single" w:sz="8" w:space="0" w:color="000000"/>
            </w:tcBorders>
            <w:shd w:val="clear" w:color="auto" w:fill="auto"/>
            <w:vAlign w:val="center"/>
          </w:tcPr>
          <w:p w14:paraId="4723EFF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30,81%</w:t>
            </w:r>
          </w:p>
        </w:tc>
        <w:tc>
          <w:tcPr>
            <w:tcW w:w="771" w:type="pct"/>
            <w:tcBorders>
              <w:top w:val="nil"/>
              <w:left w:val="nil"/>
              <w:bottom w:val="single" w:sz="8" w:space="0" w:color="000000"/>
              <w:right w:val="single" w:sz="8" w:space="0" w:color="000000"/>
            </w:tcBorders>
            <w:shd w:val="clear" w:color="auto" w:fill="auto"/>
            <w:vAlign w:val="center"/>
          </w:tcPr>
          <w:p w14:paraId="48BAB89E"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686" w:type="pct"/>
            <w:tcBorders>
              <w:top w:val="nil"/>
              <w:left w:val="nil"/>
              <w:bottom w:val="single" w:sz="8" w:space="0" w:color="000000"/>
              <w:right w:val="nil"/>
            </w:tcBorders>
            <w:shd w:val="clear" w:color="auto" w:fill="auto"/>
            <w:vAlign w:val="center"/>
          </w:tcPr>
          <w:p w14:paraId="3E495AF8" w14:textId="77777777" w:rsidR="00821527" w:rsidRPr="00F05EF7" w:rsidRDefault="0010504B" w:rsidP="00AD5592">
            <w:pP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0,00%</w:t>
            </w:r>
          </w:p>
        </w:tc>
        <w:tc>
          <w:tcPr>
            <w:tcW w:w="599" w:type="pct"/>
            <w:tcBorders>
              <w:top w:val="nil"/>
              <w:left w:val="single" w:sz="4" w:space="0" w:color="000000"/>
              <w:bottom w:val="single" w:sz="4" w:space="0" w:color="000000"/>
              <w:right w:val="nil"/>
            </w:tcBorders>
            <w:shd w:val="clear" w:color="auto" w:fill="auto"/>
            <w:vAlign w:val="center"/>
          </w:tcPr>
          <w:p w14:paraId="1F33A035" w14:textId="77777777" w:rsidR="00821527" w:rsidRPr="00F05EF7" w:rsidRDefault="0010504B" w:rsidP="00AD5592">
            <w:pP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100,00%</w:t>
            </w:r>
          </w:p>
        </w:tc>
      </w:tr>
    </w:tbl>
    <w:p w14:paraId="6E7A1E4B" w14:textId="77777777" w:rsidR="00930D82" w:rsidRPr="00F9587A" w:rsidRDefault="00930D82" w:rsidP="00AD5592">
      <w:pPr>
        <w:widowControl w:val="0"/>
        <w:pBdr>
          <w:top w:val="nil"/>
          <w:left w:val="nil"/>
          <w:bottom w:val="nil"/>
          <w:right w:val="nil"/>
          <w:between w:val="nil"/>
        </w:pBdr>
        <w:ind w:firstLine="709"/>
        <w:jc w:val="both"/>
        <w:rPr>
          <w:rFonts w:ascii="Times New Roman" w:eastAsia="Times New Roman" w:hAnsi="Times New Roman" w:cs="Times New Roman"/>
          <w:sz w:val="20"/>
          <w:szCs w:val="20"/>
        </w:rPr>
      </w:pPr>
      <w:r w:rsidRPr="00F9587A">
        <w:rPr>
          <w:rFonts w:ascii="Times New Roman" w:eastAsia="Times New Roman" w:hAnsi="Times New Roman" w:cs="Times New Roman"/>
          <w:sz w:val="20"/>
          <w:szCs w:val="20"/>
        </w:rPr>
        <w:t>Fonte: Elaborado pelos autores com base na pesquisa.</w:t>
      </w:r>
    </w:p>
    <w:p w14:paraId="519AA033" w14:textId="77777777" w:rsidR="00930D82" w:rsidRDefault="00930D82" w:rsidP="00AD5592">
      <w:pPr>
        <w:widowControl w:val="0"/>
        <w:pBdr>
          <w:top w:val="nil"/>
          <w:left w:val="nil"/>
          <w:bottom w:val="nil"/>
          <w:right w:val="nil"/>
          <w:between w:val="nil"/>
        </w:pBdr>
        <w:jc w:val="both"/>
        <w:rPr>
          <w:rFonts w:ascii="Times New Roman" w:eastAsia="Times New Roman" w:hAnsi="Times New Roman" w:cs="Times New Roman"/>
        </w:rPr>
      </w:pPr>
    </w:p>
    <w:p w14:paraId="02EB06F7" w14:textId="5DE9136A"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 xml:space="preserve">Os dados do município de Silveira Martins </w:t>
      </w:r>
      <w:r w:rsidR="00F16B13" w:rsidRPr="00F05EF7">
        <w:rPr>
          <w:rFonts w:ascii="Times New Roman" w:eastAsia="Times New Roman" w:hAnsi="Times New Roman" w:cs="Times New Roman"/>
        </w:rPr>
        <w:t>mostram</w:t>
      </w:r>
      <w:r w:rsidRPr="00F05EF7">
        <w:rPr>
          <w:rFonts w:ascii="Times New Roman" w:eastAsia="Times New Roman" w:hAnsi="Times New Roman" w:cs="Times New Roman"/>
        </w:rPr>
        <w:t xml:space="preserve"> que a fonte de recurso mais utilizada para a abertura dos créditos adicionais é anulação de dotação, com exceção dos exercícios financeiros de 2014 e 2018, onde o excesso de arrecadação foi a fonte de recurso mais utilizada. A anulação de dotação representou 44,19% dos créditos adicionais abertos em </w:t>
      </w:r>
      <w:r w:rsidRPr="00F05EF7">
        <w:rPr>
          <w:rFonts w:ascii="Times New Roman" w:eastAsia="Times New Roman" w:hAnsi="Times New Roman" w:cs="Times New Roman"/>
        </w:rPr>
        <w:lastRenderedPageBreak/>
        <w:t>2014, 66,77% em 2015, 51,19% em 2016, 41,84% em 2017 e 30,81% em 2018.</w:t>
      </w:r>
    </w:p>
    <w:p w14:paraId="0D76DC25" w14:textId="09CBDB9C" w:rsidR="00821527" w:rsidRPr="006026C8"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
        <w:t>No que di</w:t>
      </w:r>
      <w:r w:rsidR="0057322D">
        <w:rPr>
          <w:rFonts w:ascii="Times New Roman" w:eastAsia="Times New Roman" w:hAnsi="Times New Roman" w:cs="Times New Roman"/>
        </w:rPr>
        <w:t xml:space="preserve">z respeito às demais </w:t>
      </w:r>
      <w:r w:rsidR="0057322D" w:rsidRPr="006026C8">
        <w:rPr>
          <w:rFonts w:ascii="Times New Roman" w:eastAsia="Times New Roman" w:hAnsi="Times New Roman" w:cs="Times New Roman"/>
        </w:rPr>
        <w:t xml:space="preserve">fontes, </w:t>
      </w:r>
      <w:r w:rsidRPr="006026C8">
        <w:rPr>
          <w:rFonts w:ascii="Times New Roman" w:eastAsia="Times New Roman" w:hAnsi="Times New Roman" w:cs="Times New Roman"/>
        </w:rPr>
        <w:t>constata</w:t>
      </w:r>
      <w:r w:rsidR="0057322D" w:rsidRPr="006026C8">
        <w:rPr>
          <w:rFonts w:ascii="Times New Roman" w:eastAsia="Times New Roman" w:hAnsi="Times New Roman" w:cs="Times New Roman"/>
        </w:rPr>
        <w:t>-se</w:t>
      </w:r>
      <w:r w:rsidRPr="006026C8">
        <w:rPr>
          <w:rFonts w:ascii="Times New Roman" w:eastAsia="Times New Roman" w:hAnsi="Times New Roman" w:cs="Times New Roman"/>
        </w:rPr>
        <w:t xml:space="preserve"> que os valores que tiveram como fonte de recurso o excesso de arrecadação também foram elevados, representando 47,89% em 2014, 22,18% em 2015, 25,23% em 2016, 20,51% em 2017 e 40,80% em 2018, enquanto o superávit financeiro representou um mínimo de 7,92% (2014) e um máximo de 37,64% (2017) no período. A fonte de recurso correspondente às operações de crédito mostra que houve utilização somente no exercício financeiro de 2016, a qual representou 9,88% do total dos créditos adicionais abertos no ano. Não se observa a utilização de outros recursos para abertura de créditos adicionais.</w:t>
      </w:r>
    </w:p>
    <w:p w14:paraId="23E82394" w14:textId="6383701B" w:rsidR="00AC5545" w:rsidRPr="006026C8" w:rsidRDefault="0010504B" w:rsidP="00AD5592">
      <w:pPr>
        <w:jc w:val="both"/>
        <w:rPr>
          <w:rFonts w:ascii="Times New Roman" w:eastAsia="Times New Roman" w:hAnsi="Times New Roman" w:cs="Times New Roman"/>
        </w:rPr>
      </w:pPr>
      <w:r w:rsidRPr="006026C8">
        <w:rPr>
          <w:rFonts w:ascii="Times New Roman" w:eastAsia="Times New Roman" w:hAnsi="Times New Roman" w:cs="Times New Roman"/>
        </w:rPr>
        <w:tab/>
        <w:t xml:space="preserve">Percebe-se, a partir da sequência de </w:t>
      </w:r>
      <w:r w:rsidR="005E5A3C" w:rsidRPr="006026C8">
        <w:rPr>
          <w:rFonts w:ascii="Times New Roman" w:eastAsia="Times New Roman" w:hAnsi="Times New Roman" w:cs="Times New Roman"/>
        </w:rPr>
        <w:t>t</w:t>
      </w:r>
      <w:r w:rsidRPr="006026C8">
        <w:rPr>
          <w:rFonts w:ascii="Times New Roman" w:eastAsia="Times New Roman" w:hAnsi="Times New Roman" w:cs="Times New Roman"/>
        </w:rPr>
        <w:t>abelas apresentadas, o quão representativ</w:t>
      </w:r>
      <w:r w:rsidR="005E5A3C" w:rsidRPr="006026C8">
        <w:rPr>
          <w:rFonts w:ascii="Times New Roman" w:eastAsia="Times New Roman" w:hAnsi="Times New Roman" w:cs="Times New Roman"/>
        </w:rPr>
        <w:t>a</w:t>
      </w:r>
      <w:r w:rsidRPr="006026C8">
        <w:rPr>
          <w:rFonts w:ascii="Times New Roman" w:eastAsia="Times New Roman" w:hAnsi="Times New Roman" w:cs="Times New Roman"/>
        </w:rPr>
        <w:t xml:space="preserve"> é a fonte de recurso correspondente à anulação de dotação, sendo a que mais se destaca, seguida pelo excesso de arrecadação. Importante destacar que valores tão el</w:t>
      </w:r>
      <w:r w:rsidR="005E5A3C" w:rsidRPr="006026C8">
        <w:rPr>
          <w:rFonts w:ascii="Times New Roman" w:eastAsia="Times New Roman" w:hAnsi="Times New Roman" w:cs="Times New Roman"/>
        </w:rPr>
        <w:t>evados como estes destacados</w:t>
      </w:r>
      <w:r w:rsidRPr="006026C8">
        <w:rPr>
          <w:rFonts w:ascii="Times New Roman" w:eastAsia="Times New Roman" w:hAnsi="Times New Roman" w:cs="Times New Roman"/>
        </w:rPr>
        <w:t xml:space="preserve"> acabam por indicar não somente que há imprecisão nos planejamentos orçamentários dos municípios, mas também que há subestimação da receita</w:t>
      </w:r>
      <w:r w:rsidR="005E5A3C" w:rsidRPr="006026C8">
        <w:rPr>
          <w:rFonts w:ascii="Times New Roman" w:eastAsia="Times New Roman" w:hAnsi="Times New Roman" w:cs="Times New Roman"/>
        </w:rPr>
        <w:t>, sobretudo no município de Formigueiro</w:t>
      </w:r>
      <w:r w:rsidR="00D67E12" w:rsidRPr="006026C8">
        <w:rPr>
          <w:rFonts w:ascii="Times New Roman" w:eastAsia="Times New Roman" w:hAnsi="Times New Roman" w:cs="Times New Roman"/>
        </w:rPr>
        <w:t>.</w:t>
      </w:r>
    </w:p>
    <w:p w14:paraId="1BA9AEB9" w14:textId="66A7A1F3" w:rsidR="0045054A" w:rsidRPr="006026C8" w:rsidRDefault="0045054A" w:rsidP="00AD5592">
      <w:pPr>
        <w:jc w:val="both"/>
        <w:rPr>
          <w:rFonts w:ascii="Times New Roman" w:eastAsia="Times New Roman" w:hAnsi="Times New Roman" w:cs="Times New Roman"/>
        </w:rPr>
      </w:pPr>
      <w:r w:rsidRPr="006026C8">
        <w:rPr>
          <w:rFonts w:ascii="Times New Roman" w:eastAsia="Times New Roman" w:hAnsi="Times New Roman" w:cs="Times New Roman"/>
        </w:rPr>
        <w:tab/>
        <w:t xml:space="preserve">Isto porque excessos de arrecadação tão elevados </w:t>
      </w:r>
      <w:r w:rsidR="001932D8" w:rsidRPr="006026C8">
        <w:rPr>
          <w:rFonts w:ascii="Times New Roman" w:eastAsia="Times New Roman" w:hAnsi="Times New Roman" w:cs="Times New Roman"/>
        </w:rPr>
        <w:t>sugerem</w:t>
      </w:r>
      <w:r w:rsidRPr="006026C8">
        <w:rPr>
          <w:rFonts w:ascii="Times New Roman" w:eastAsia="Times New Roman" w:hAnsi="Times New Roman" w:cs="Times New Roman"/>
        </w:rPr>
        <w:t xml:space="preserve"> que a receita tem sido estimada de forma distinta da realidade dos municípios. O mesmo ocorre com a alocação das despesas, que diverge do previsto na proposta orçamentária, fato este comprovado pelos altos percentuais (maiores) de créditos adicionais abertos, do tipo suplementar, cuja fonte de recurso para sua abertura foi a anulação de dotação.</w:t>
      </w:r>
    </w:p>
    <w:p w14:paraId="57A0AD65" w14:textId="0D406CBA" w:rsidR="0045054A" w:rsidRPr="006026C8" w:rsidRDefault="0045054A" w:rsidP="00AD5592">
      <w:pPr>
        <w:jc w:val="both"/>
        <w:rPr>
          <w:rFonts w:ascii="Times New Roman" w:eastAsia="Times New Roman" w:hAnsi="Times New Roman" w:cs="Times New Roman"/>
        </w:rPr>
      </w:pPr>
      <w:r w:rsidRPr="006026C8">
        <w:rPr>
          <w:rFonts w:ascii="Times New Roman" w:eastAsia="Times New Roman" w:hAnsi="Times New Roman" w:cs="Times New Roman"/>
        </w:rPr>
        <w:tab/>
        <w:t xml:space="preserve">Sendo assim, o que ocorre nesses casos nada mais é do que um remanejamento de </w:t>
      </w:r>
      <w:r w:rsidR="001932D8" w:rsidRPr="006026C8">
        <w:rPr>
          <w:rFonts w:ascii="Times New Roman" w:eastAsia="Times New Roman" w:hAnsi="Times New Roman" w:cs="Times New Roman"/>
        </w:rPr>
        <w:t>uma despesa para outra</w:t>
      </w:r>
      <w:r w:rsidRPr="006026C8">
        <w:rPr>
          <w:rFonts w:ascii="Times New Roman" w:eastAsia="Times New Roman" w:hAnsi="Times New Roman" w:cs="Times New Roman"/>
        </w:rPr>
        <w:t xml:space="preserve">, indicando, desse modo, </w:t>
      </w:r>
      <w:r w:rsidR="001932D8" w:rsidRPr="006026C8">
        <w:rPr>
          <w:rFonts w:ascii="Times New Roman" w:eastAsia="Times New Roman" w:hAnsi="Times New Roman" w:cs="Times New Roman"/>
        </w:rPr>
        <w:t xml:space="preserve">altas alterações na peça orçamentária, corroborada pelos </w:t>
      </w:r>
      <w:r w:rsidRPr="006026C8">
        <w:rPr>
          <w:rFonts w:ascii="Times New Roman" w:eastAsia="Times New Roman" w:hAnsi="Times New Roman" w:cs="Times New Roman"/>
        </w:rPr>
        <w:t xml:space="preserve">elevados percentuais de movimentação de créditos orçamentários, o que importa na </w:t>
      </w:r>
      <w:r w:rsidR="001932D8" w:rsidRPr="006026C8">
        <w:rPr>
          <w:rFonts w:ascii="Times New Roman" w:eastAsia="Times New Roman" w:hAnsi="Times New Roman" w:cs="Times New Roman"/>
        </w:rPr>
        <w:t xml:space="preserve">perceptível </w:t>
      </w:r>
      <w:r w:rsidRPr="006026C8">
        <w:rPr>
          <w:rFonts w:ascii="Times New Roman" w:eastAsia="Times New Roman" w:hAnsi="Times New Roman" w:cs="Times New Roman"/>
        </w:rPr>
        <w:t>imprecisão orçamentária.</w:t>
      </w:r>
    </w:p>
    <w:p w14:paraId="4A28F2C1" w14:textId="48FA7255" w:rsidR="00D67E12" w:rsidRPr="00F05EF7" w:rsidRDefault="00D67E12" w:rsidP="00AD5592">
      <w:pPr>
        <w:jc w:val="both"/>
        <w:rPr>
          <w:rFonts w:ascii="Times New Roman" w:eastAsia="Times New Roman" w:hAnsi="Times New Roman" w:cs="Times New Roman"/>
        </w:rPr>
      </w:pPr>
      <w:r w:rsidRPr="006026C8">
        <w:rPr>
          <w:rFonts w:ascii="Times New Roman" w:eastAsia="Times New Roman" w:hAnsi="Times New Roman" w:cs="Times New Roman"/>
        </w:rPr>
        <w:tab/>
        <w:t>Azevedo (2013) sugere que a imprecisão orçamentária é um problema existente em todos os portes de municípios, tal qual se observa neste estudo. O autor tamb</w:t>
      </w:r>
      <w:r w:rsidR="00E4270C" w:rsidRPr="006026C8">
        <w:rPr>
          <w:rFonts w:ascii="Times New Roman" w:eastAsia="Times New Roman" w:hAnsi="Times New Roman" w:cs="Times New Roman"/>
        </w:rPr>
        <w:t>ém constatou em seu estudo que m</w:t>
      </w:r>
      <w:r w:rsidRPr="006026C8">
        <w:rPr>
          <w:rFonts w:ascii="Times New Roman" w:eastAsia="Times New Roman" w:hAnsi="Times New Roman" w:cs="Times New Roman"/>
        </w:rPr>
        <w:t>unicípios efetuam realocações</w:t>
      </w:r>
      <w:r w:rsidRPr="00F05EF7">
        <w:rPr>
          <w:rFonts w:ascii="Times New Roman" w:eastAsia="Times New Roman" w:hAnsi="Times New Roman" w:cs="Times New Roman"/>
        </w:rPr>
        <w:t xml:space="preserve"> orçamentárias entre as funções de governo em média 25%, ou seja, é dada destinação diversa da aprovada pelo Legislativo a praticamente 25% do orçado.</w:t>
      </w:r>
    </w:p>
    <w:p w14:paraId="1FF5A1A5" w14:textId="22DF6433" w:rsidR="00821527" w:rsidRPr="00F05EF7" w:rsidRDefault="0010504B" w:rsidP="00AD5592">
      <w:pPr>
        <w:jc w:val="both"/>
        <w:rPr>
          <w:rFonts w:ascii="Times New Roman" w:eastAsia="Times New Roman" w:hAnsi="Times New Roman" w:cs="Times New Roman"/>
        </w:rPr>
      </w:pPr>
      <w:r w:rsidRPr="00F05EF7">
        <w:rPr>
          <w:rFonts w:ascii="Times New Roman" w:eastAsia="Times New Roman" w:hAnsi="Times New Roman" w:cs="Times New Roman"/>
        </w:rPr>
        <w:tab/>
        <w:t xml:space="preserve">Salienta-se, por fim, que os dados gerados na pesquisa mostram que todos os municípios analisados apresentaram um planejamento orçamentário muito aquém do nível de precisão esperado, isto porque movimentaram, em média, de 16,21% a incríveis 57,07% dos totais de despesa executada no exercício em realocações nos orçamentos. </w:t>
      </w:r>
      <w:proofErr w:type="spellStart"/>
      <w:r w:rsidRPr="00F05EF7">
        <w:rPr>
          <w:rFonts w:ascii="Times New Roman" w:eastAsia="Times New Roman" w:hAnsi="Times New Roman" w:cs="Times New Roman"/>
        </w:rPr>
        <w:t>Welsch</w:t>
      </w:r>
      <w:proofErr w:type="spellEnd"/>
      <w:r w:rsidRPr="00F05EF7">
        <w:rPr>
          <w:rFonts w:ascii="Times New Roman" w:eastAsia="Times New Roman" w:hAnsi="Times New Roman" w:cs="Times New Roman"/>
        </w:rPr>
        <w:t xml:space="preserve"> (2015) defende que contas contábeis que variam mais de 5% entre o orçado e realizado já merecem maior destaque, por ser considerado </w:t>
      </w:r>
      <w:r w:rsidR="003A6109" w:rsidRPr="00F05EF7">
        <w:rPr>
          <w:rFonts w:ascii="Times New Roman" w:eastAsia="Times New Roman" w:hAnsi="Times New Roman" w:cs="Times New Roman"/>
        </w:rPr>
        <w:t>“anormal”</w:t>
      </w:r>
      <w:r w:rsidRPr="00F05EF7">
        <w:rPr>
          <w:rFonts w:ascii="Times New Roman" w:eastAsia="Times New Roman" w:hAnsi="Times New Roman" w:cs="Times New Roman"/>
        </w:rPr>
        <w:t>.</w:t>
      </w:r>
    </w:p>
    <w:p w14:paraId="395421FA" w14:textId="77777777" w:rsidR="005215F1" w:rsidRDefault="0010504B" w:rsidP="00AD5592">
      <w:pPr>
        <w:jc w:val="both"/>
        <w:rPr>
          <w:rFonts w:ascii="Times New Roman" w:eastAsia="Times New Roman" w:hAnsi="Times New Roman" w:cs="Times New Roman"/>
        </w:rPr>
      </w:pPr>
      <w:r w:rsidRPr="00F05EF7">
        <w:rPr>
          <w:rFonts w:ascii="Times New Roman" w:eastAsia="Times New Roman" w:hAnsi="Times New Roman" w:cs="Times New Roman"/>
        </w:rPr>
        <w:tab/>
        <w:t xml:space="preserve">Logo, tem-se que os percentuais apurados estão muito </w:t>
      </w:r>
      <w:r w:rsidR="0059614C" w:rsidRPr="00F05EF7">
        <w:rPr>
          <w:rFonts w:ascii="Times New Roman" w:eastAsia="Times New Roman" w:hAnsi="Times New Roman" w:cs="Times New Roman"/>
        </w:rPr>
        <w:t>além</w:t>
      </w:r>
      <w:r w:rsidRPr="00F05EF7">
        <w:rPr>
          <w:rFonts w:ascii="Times New Roman" w:eastAsia="Times New Roman" w:hAnsi="Times New Roman" w:cs="Times New Roman"/>
        </w:rPr>
        <w:t xml:space="preserve"> do que deveriam para que fossem considerados aceitáveis ou ideais. No caso em estudo, além da imprecisão orçamentária observada na execução da </w:t>
      </w:r>
      <w:r w:rsidR="0059614C" w:rsidRPr="00F05EF7">
        <w:rPr>
          <w:rFonts w:ascii="Times New Roman" w:eastAsia="Times New Roman" w:hAnsi="Times New Roman" w:cs="Times New Roman"/>
        </w:rPr>
        <w:t>despesa,</w:t>
      </w:r>
      <w:r w:rsidRPr="00F05EF7">
        <w:rPr>
          <w:rFonts w:ascii="Times New Roman" w:eastAsia="Times New Roman" w:hAnsi="Times New Roman" w:cs="Times New Roman"/>
        </w:rPr>
        <w:t xml:space="preserve"> também se observou que as projeções da receita orçamentária possuem </w:t>
      </w:r>
      <w:r w:rsidR="0059614C" w:rsidRPr="00F05EF7">
        <w:rPr>
          <w:rFonts w:ascii="Times New Roman" w:eastAsia="Times New Roman" w:hAnsi="Times New Roman" w:cs="Times New Roman"/>
        </w:rPr>
        <w:t>elevados</w:t>
      </w:r>
      <w:r w:rsidRPr="00F05EF7">
        <w:rPr>
          <w:rFonts w:ascii="Times New Roman" w:eastAsia="Times New Roman" w:hAnsi="Times New Roman" w:cs="Times New Roman"/>
        </w:rPr>
        <w:t xml:space="preserve"> índices de imprecisão, haja vista os quantitativos de créditos adicionais abertos do tipo suplementar, cuja fonte </w:t>
      </w:r>
      <w:r w:rsidR="0059614C" w:rsidRPr="00F05EF7">
        <w:rPr>
          <w:rFonts w:ascii="Times New Roman" w:eastAsia="Times New Roman" w:hAnsi="Times New Roman" w:cs="Times New Roman"/>
        </w:rPr>
        <w:t>teve</w:t>
      </w:r>
      <w:r w:rsidRPr="00F05EF7">
        <w:rPr>
          <w:rFonts w:ascii="Times New Roman" w:eastAsia="Times New Roman" w:hAnsi="Times New Roman" w:cs="Times New Roman"/>
        </w:rPr>
        <w:t xml:space="preserve"> </w:t>
      </w:r>
      <w:r w:rsidR="0059614C" w:rsidRPr="00F05EF7">
        <w:rPr>
          <w:rFonts w:ascii="Times New Roman" w:eastAsia="Times New Roman" w:hAnsi="Times New Roman" w:cs="Times New Roman"/>
        </w:rPr>
        <w:t>por</w:t>
      </w:r>
      <w:r w:rsidRPr="00F05EF7">
        <w:rPr>
          <w:rFonts w:ascii="Times New Roman" w:eastAsia="Times New Roman" w:hAnsi="Times New Roman" w:cs="Times New Roman"/>
        </w:rPr>
        <w:t xml:space="preserve"> base o excesso de arrecadação</w:t>
      </w:r>
      <w:r w:rsidR="005215F1">
        <w:rPr>
          <w:rFonts w:ascii="Times New Roman" w:eastAsia="Times New Roman" w:hAnsi="Times New Roman" w:cs="Times New Roman"/>
        </w:rPr>
        <w:t xml:space="preserve"> (vide Tabela 5)</w:t>
      </w:r>
      <w:r w:rsidRPr="00F05EF7">
        <w:rPr>
          <w:rFonts w:ascii="Times New Roman" w:eastAsia="Times New Roman" w:hAnsi="Times New Roman" w:cs="Times New Roman"/>
        </w:rPr>
        <w:t>.</w:t>
      </w:r>
    </w:p>
    <w:p w14:paraId="1525D657" w14:textId="33F16FF9" w:rsidR="00821527" w:rsidRPr="00F05EF7" w:rsidRDefault="005215F1" w:rsidP="00AD5592">
      <w:pPr>
        <w:jc w:val="both"/>
        <w:rPr>
          <w:rFonts w:ascii="Times New Roman" w:eastAsia="Times New Roman" w:hAnsi="Times New Roman" w:cs="Times New Roman"/>
        </w:rPr>
      </w:pPr>
      <w:r>
        <w:rPr>
          <w:rFonts w:ascii="Times New Roman" w:eastAsia="Times New Roman" w:hAnsi="Times New Roman" w:cs="Times New Roman"/>
        </w:rPr>
        <w:tab/>
      </w:r>
      <w:r w:rsidR="0010504B" w:rsidRPr="00F05EF7">
        <w:rPr>
          <w:rFonts w:ascii="Times New Roman" w:eastAsia="Times New Roman" w:hAnsi="Times New Roman" w:cs="Times New Roman"/>
        </w:rPr>
        <w:t xml:space="preserve">Sendo assim, pode-se inferir que a totalidade dos municípios analisados possui orçamentos que se mostraram imprecisos, frente aos elevados montantes de créditos adicionais que foram abertos ano após ano, </w:t>
      </w:r>
      <w:r w:rsidR="0085641A" w:rsidRPr="00F05EF7">
        <w:rPr>
          <w:rFonts w:ascii="Times New Roman" w:eastAsia="Times New Roman" w:hAnsi="Times New Roman" w:cs="Times New Roman"/>
        </w:rPr>
        <w:t>necessários para</w:t>
      </w:r>
      <w:r w:rsidR="0010504B" w:rsidRPr="00F05EF7">
        <w:rPr>
          <w:rFonts w:ascii="Times New Roman" w:eastAsia="Times New Roman" w:hAnsi="Times New Roman" w:cs="Times New Roman"/>
        </w:rPr>
        <w:t xml:space="preserve"> corrigir as falhas e imprecisões dos próprios orçamentos. Ou seja, os dados mostram que os municípios da microrregião de Restinga </w:t>
      </w:r>
      <w:proofErr w:type="spellStart"/>
      <w:r w:rsidR="0010504B" w:rsidRPr="00F05EF7">
        <w:rPr>
          <w:rFonts w:ascii="Times New Roman" w:eastAsia="Times New Roman" w:hAnsi="Times New Roman" w:cs="Times New Roman"/>
        </w:rPr>
        <w:t>Sêca</w:t>
      </w:r>
      <w:proofErr w:type="spellEnd"/>
      <w:r w:rsidR="0010504B" w:rsidRPr="00F05EF7">
        <w:rPr>
          <w:rFonts w:ascii="Times New Roman" w:eastAsia="Times New Roman" w:hAnsi="Times New Roman" w:cs="Times New Roman"/>
        </w:rPr>
        <w:t xml:space="preserve"> têm práticas orçamentárias imprecisas</w:t>
      </w:r>
      <w:r w:rsidR="0045054A" w:rsidRPr="00F05EF7">
        <w:rPr>
          <w:rFonts w:ascii="Times New Roman" w:eastAsia="Times New Roman" w:hAnsi="Times New Roman" w:cs="Times New Roman"/>
        </w:rPr>
        <w:t>.</w:t>
      </w:r>
    </w:p>
    <w:p w14:paraId="679C74A3" w14:textId="44EDA398" w:rsidR="00821527" w:rsidRPr="00F05EF7" w:rsidRDefault="0010504B" w:rsidP="00AD5592">
      <w:pPr>
        <w:jc w:val="both"/>
        <w:rPr>
          <w:rFonts w:ascii="Times New Roman" w:eastAsia="Times New Roman" w:hAnsi="Times New Roman" w:cs="Times New Roman"/>
        </w:rPr>
      </w:pPr>
      <w:r w:rsidRPr="00F05EF7">
        <w:rPr>
          <w:rFonts w:ascii="Times New Roman" w:eastAsia="Times New Roman" w:hAnsi="Times New Roman" w:cs="Times New Roman"/>
        </w:rPr>
        <w:tab/>
        <w:t xml:space="preserve">Tal constatação </w:t>
      </w:r>
      <w:r w:rsidR="0045054A" w:rsidRPr="00F05EF7">
        <w:rPr>
          <w:rFonts w:ascii="Times New Roman" w:eastAsia="Times New Roman" w:hAnsi="Times New Roman" w:cs="Times New Roman"/>
        </w:rPr>
        <w:t>demanda cautela e</w:t>
      </w:r>
      <w:r w:rsidRPr="00F05EF7">
        <w:rPr>
          <w:rFonts w:ascii="Times New Roman" w:eastAsia="Times New Roman" w:hAnsi="Times New Roman" w:cs="Times New Roman"/>
        </w:rPr>
        <w:t xml:space="preserve"> </w:t>
      </w:r>
      <w:r w:rsidR="0045054A" w:rsidRPr="00F05EF7">
        <w:rPr>
          <w:rFonts w:ascii="Times New Roman" w:eastAsia="Times New Roman" w:hAnsi="Times New Roman" w:cs="Times New Roman"/>
        </w:rPr>
        <w:t xml:space="preserve">atenção, merecendo </w:t>
      </w:r>
      <w:r w:rsidRPr="00F05EF7">
        <w:rPr>
          <w:rFonts w:ascii="Times New Roman" w:eastAsia="Times New Roman" w:hAnsi="Times New Roman" w:cs="Times New Roman"/>
        </w:rPr>
        <w:t xml:space="preserve">ser revista pelos entes públicos o quanto antes, com vistas </w:t>
      </w:r>
      <w:r w:rsidR="0085641A" w:rsidRPr="00F05EF7">
        <w:rPr>
          <w:rFonts w:ascii="Times New Roman" w:eastAsia="Times New Roman" w:hAnsi="Times New Roman" w:cs="Times New Roman"/>
        </w:rPr>
        <w:t>a</w:t>
      </w:r>
      <w:r w:rsidRPr="00F05EF7">
        <w:rPr>
          <w:rFonts w:ascii="Times New Roman" w:eastAsia="Times New Roman" w:hAnsi="Times New Roman" w:cs="Times New Roman"/>
        </w:rPr>
        <w:t xml:space="preserve"> romper com </w:t>
      </w:r>
      <w:r w:rsidR="0045054A" w:rsidRPr="00F05EF7">
        <w:rPr>
          <w:rFonts w:ascii="Times New Roman" w:eastAsia="Times New Roman" w:hAnsi="Times New Roman" w:cs="Times New Roman"/>
        </w:rPr>
        <w:t>tais</w:t>
      </w:r>
      <w:r w:rsidRPr="00F05EF7">
        <w:rPr>
          <w:rFonts w:ascii="Times New Roman" w:eastAsia="Times New Roman" w:hAnsi="Times New Roman" w:cs="Times New Roman"/>
        </w:rPr>
        <w:t xml:space="preserve"> práticas, que</w:t>
      </w:r>
      <w:r w:rsidR="0045054A" w:rsidRPr="00F05EF7">
        <w:rPr>
          <w:rFonts w:ascii="Times New Roman" w:eastAsia="Times New Roman" w:hAnsi="Times New Roman" w:cs="Times New Roman"/>
        </w:rPr>
        <w:t>, aparentemente</w:t>
      </w:r>
      <w:r w:rsidR="0045054A" w:rsidRPr="006026C8">
        <w:rPr>
          <w:rFonts w:ascii="Times New Roman" w:eastAsia="Times New Roman" w:hAnsi="Times New Roman" w:cs="Times New Roman"/>
        </w:rPr>
        <w:t>,</w:t>
      </w:r>
      <w:r w:rsidR="00E4270C" w:rsidRPr="006026C8">
        <w:rPr>
          <w:rFonts w:ascii="Times New Roman" w:eastAsia="Times New Roman" w:hAnsi="Times New Roman" w:cs="Times New Roman"/>
        </w:rPr>
        <w:t xml:space="preserve"> </w:t>
      </w:r>
      <w:r w:rsidRPr="006026C8">
        <w:rPr>
          <w:rFonts w:ascii="Times New Roman" w:eastAsia="Times New Roman" w:hAnsi="Times New Roman" w:cs="Times New Roman"/>
        </w:rPr>
        <w:t>encontram</w:t>
      </w:r>
      <w:r w:rsidR="00E4270C" w:rsidRPr="006026C8">
        <w:rPr>
          <w:rFonts w:ascii="Times New Roman" w:eastAsia="Times New Roman" w:hAnsi="Times New Roman" w:cs="Times New Roman"/>
        </w:rPr>
        <w:t>-se</w:t>
      </w:r>
      <w:r w:rsidRPr="00F05EF7">
        <w:rPr>
          <w:rFonts w:ascii="Times New Roman" w:eastAsia="Times New Roman" w:hAnsi="Times New Roman" w:cs="Times New Roman"/>
        </w:rPr>
        <w:t xml:space="preserve"> entranhadas na </w:t>
      </w:r>
      <w:r w:rsidR="0045054A" w:rsidRPr="00F05EF7">
        <w:rPr>
          <w:rFonts w:ascii="Times New Roman" w:eastAsia="Times New Roman" w:hAnsi="Times New Roman" w:cs="Times New Roman"/>
        </w:rPr>
        <w:t>cultura orçamentária dos municípios</w:t>
      </w:r>
      <w:r w:rsidR="0085641A" w:rsidRPr="00F05EF7">
        <w:rPr>
          <w:rFonts w:ascii="Times New Roman" w:eastAsia="Times New Roman" w:hAnsi="Times New Roman" w:cs="Times New Roman"/>
        </w:rPr>
        <w:t>, com o objetivo de</w:t>
      </w:r>
      <w:r w:rsidRPr="00F05EF7">
        <w:rPr>
          <w:rFonts w:ascii="Times New Roman" w:eastAsia="Times New Roman" w:hAnsi="Times New Roman" w:cs="Times New Roman"/>
        </w:rPr>
        <w:t xml:space="preserve"> </w:t>
      </w:r>
      <w:r w:rsidR="0085641A" w:rsidRPr="00F05EF7">
        <w:rPr>
          <w:rFonts w:ascii="Times New Roman" w:eastAsia="Times New Roman" w:hAnsi="Times New Roman" w:cs="Times New Roman"/>
        </w:rPr>
        <w:t>buscar maior</w:t>
      </w:r>
      <w:r w:rsidRPr="00F05EF7">
        <w:rPr>
          <w:rFonts w:ascii="Times New Roman" w:eastAsia="Times New Roman" w:hAnsi="Times New Roman" w:cs="Times New Roman"/>
        </w:rPr>
        <w:t xml:space="preserve"> eficiência na alocação e gestão dos gastos públicos. Isto porque se não há bom planejamento dificilmente </w:t>
      </w:r>
      <w:r w:rsidRPr="00F05EF7">
        <w:rPr>
          <w:rFonts w:ascii="Times New Roman" w:eastAsia="Times New Roman" w:hAnsi="Times New Roman" w:cs="Times New Roman"/>
        </w:rPr>
        <w:lastRenderedPageBreak/>
        <w:t>haverá uma boa e adequada gestão na alocação dos recursos públicos</w:t>
      </w:r>
      <w:r w:rsidR="00B42B26" w:rsidRPr="00F05EF7">
        <w:rPr>
          <w:rFonts w:ascii="Times New Roman" w:eastAsia="Times New Roman" w:hAnsi="Times New Roman" w:cs="Times New Roman"/>
        </w:rPr>
        <w:t xml:space="preserve">, </w:t>
      </w:r>
      <w:r w:rsidR="004D6D8D" w:rsidRPr="00F05EF7">
        <w:rPr>
          <w:rFonts w:ascii="Times New Roman" w:eastAsia="Times New Roman" w:hAnsi="Times New Roman" w:cs="Times New Roman"/>
        </w:rPr>
        <w:t>já que o orçamento público consiste num plano de ação governamental, tal como observa M</w:t>
      </w:r>
      <w:r w:rsidR="009D00AB" w:rsidRPr="00F05EF7">
        <w:rPr>
          <w:rFonts w:ascii="Times New Roman" w:eastAsia="Times New Roman" w:hAnsi="Times New Roman" w:cs="Times New Roman"/>
        </w:rPr>
        <w:t>agalh</w:t>
      </w:r>
      <w:r w:rsidR="000167DB" w:rsidRPr="00F05EF7">
        <w:rPr>
          <w:rFonts w:ascii="Times New Roman" w:eastAsia="Times New Roman" w:hAnsi="Times New Roman" w:cs="Times New Roman"/>
        </w:rPr>
        <w:t>ães</w:t>
      </w:r>
      <w:r w:rsidR="009D00AB" w:rsidRPr="00F05EF7">
        <w:rPr>
          <w:rFonts w:ascii="Times New Roman" w:eastAsia="Times New Roman" w:hAnsi="Times New Roman" w:cs="Times New Roman"/>
        </w:rPr>
        <w:t xml:space="preserve"> et. al</w:t>
      </w:r>
      <w:r w:rsidR="004D6D8D" w:rsidRPr="00F05EF7">
        <w:rPr>
          <w:rFonts w:ascii="Times New Roman" w:eastAsia="Times New Roman" w:hAnsi="Times New Roman" w:cs="Times New Roman"/>
        </w:rPr>
        <w:t xml:space="preserve"> (</w:t>
      </w:r>
      <w:r w:rsidR="00AB7A59" w:rsidRPr="00F05EF7">
        <w:rPr>
          <w:rFonts w:ascii="Times New Roman" w:eastAsia="Times New Roman" w:hAnsi="Times New Roman" w:cs="Times New Roman"/>
        </w:rPr>
        <w:t>2019</w:t>
      </w:r>
      <w:r w:rsidR="004D6D8D" w:rsidRPr="00F05EF7">
        <w:rPr>
          <w:rFonts w:ascii="Times New Roman" w:eastAsia="Times New Roman" w:hAnsi="Times New Roman" w:cs="Times New Roman"/>
        </w:rPr>
        <w:t>).</w:t>
      </w:r>
    </w:p>
    <w:p w14:paraId="7833716B" w14:textId="42EEE6F0" w:rsidR="0010504B" w:rsidRPr="00F05EF7" w:rsidRDefault="0010504B" w:rsidP="00AD5592">
      <w:pPr>
        <w:jc w:val="both"/>
        <w:rPr>
          <w:rFonts w:ascii="Times New Roman" w:eastAsia="Times New Roman" w:hAnsi="Times New Roman" w:cs="Times New Roman"/>
        </w:rPr>
      </w:pPr>
      <w:r w:rsidRPr="00F05EF7">
        <w:rPr>
          <w:rFonts w:ascii="Times New Roman" w:eastAsia="Times New Roman" w:hAnsi="Times New Roman" w:cs="Times New Roman"/>
        </w:rPr>
        <w:tab/>
        <w:t>Azevedo (2013), em seu estudo sobre a imprecisão na estimação orçamentária dos municípios brasileiros</w:t>
      </w:r>
      <w:r w:rsidR="00B42B26" w:rsidRPr="00F05EF7">
        <w:rPr>
          <w:rFonts w:ascii="Times New Roman" w:eastAsia="Times New Roman" w:hAnsi="Times New Roman" w:cs="Times New Roman"/>
        </w:rPr>
        <w:t>,</w:t>
      </w:r>
      <w:r w:rsidRPr="00F05EF7">
        <w:rPr>
          <w:rFonts w:ascii="Times New Roman" w:eastAsia="Times New Roman" w:hAnsi="Times New Roman" w:cs="Times New Roman"/>
        </w:rPr>
        <w:t xml:space="preserve"> constatou</w:t>
      </w:r>
      <w:r w:rsidR="00B42B26" w:rsidRPr="00F05EF7">
        <w:rPr>
          <w:rFonts w:ascii="Times New Roman" w:eastAsia="Times New Roman" w:hAnsi="Times New Roman" w:cs="Times New Roman"/>
        </w:rPr>
        <w:t xml:space="preserve">, a partir dos resultados encontrados </w:t>
      </w:r>
      <w:r w:rsidR="0085641A" w:rsidRPr="00F05EF7">
        <w:rPr>
          <w:rFonts w:ascii="Times New Roman" w:eastAsia="Times New Roman" w:hAnsi="Times New Roman" w:cs="Times New Roman"/>
        </w:rPr>
        <w:t>em sua</w:t>
      </w:r>
      <w:r w:rsidR="00B42B26" w:rsidRPr="00F05EF7">
        <w:rPr>
          <w:rFonts w:ascii="Times New Roman" w:eastAsia="Times New Roman" w:hAnsi="Times New Roman" w:cs="Times New Roman"/>
        </w:rPr>
        <w:t xml:space="preserve"> pesquisa, que o orçamento não é utilizado como um instrumento de planejamento e que a precisão nas estimativas das receitas e despesas nos orçamentos dos municípios brasileiros parece não ser o direcionador dos prefeitos. Assim, </w:t>
      </w:r>
      <w:r w:rsidR="0085641A" w:rsidRPr="00F05EF7">
        <w:rPr>
          <w:rFonts w:ascii="Times New Roman" w:eastAsia="Times New Roman" w:hAnsi="Times New Roman" w:cs="Times New Roman"/>
        </w:rPr>
        <w:t>pode-se</w:t>
      </w:r>
      <w:r w:rsidR="00B42B26" w:rsidRPr="00F05EF7">
        <w:rPr>
          <w:rFonts w:ascii="Times New Roman" w:eastAsia="Times New Roman" w:hAnsi="Times New Roman" w:cs="Times New Roman"/>
        </w:rPr>
        <w:t xml:space="preserve"> inferir que o orçamento, ao menos no âmbito dos municípios analisados, funciona mais como mecanismo de registro contábil de entradas e saídas financeiras do que como instrumento de planejamento.</w:t>
      </w:r>
    </w:p>
    <w:p w14:paraId="68931EC3" w14:textId="0013A4BD" w:rsidR="00B42B26" w:rsidRPr="00F05EF7" w:rsidRDefault="00B42B26" w:rsidP="00AD5592">
      <w:pPr>
        <w:jc w:val="both"/>
        <w:rPr>
          <w:rFonts w:ascii="Times New Roman" w:eastAsia="Times New Roman" w:hAnsi="Times New Roman" w:cs="Times New Roman"/>
        </w:rPr>
      </w:pPr>
      <w:r w:rsidRPr="00F05EF7">
        <w:rPr>
          <w:rFonts w:ascii="Times New Roman" w:eastAsia="Times New Roman" w:hAnsi="Times New Roman" w:cs="Times New Roman"/>
        </w:rPr>
        <w:tab/>
        <w:t xml:space="preserve">Os dados apurados nesta pesquisa indicam uma tendência muito semelhante à observada por Azevedo (2013) em seu estudo, uma vez que os municípios estudados apresentaram altos percentuais de discrepância entre o prometido e o executado. Isto porque foram necessárias </w:t>
      </w:r>
      <w:r w:rsidR="00AA3E9B" w:rsidRPr="00F05EF7">
        <w:rPr>
          <w:rFonts w:ascii="Times New Roman" w:eastAsia="Times New Roman" w:hAnsi="Times New Roman" w:cs="Times New Roman"/>
        </w:rPr>
        <w:t>inúmeras</w:t>
      </w:r>
      <w:r w:rsidRPr="00F05EF7">
        <w:rPr>
          <w:rFonts w:ascii="Times New Roman" w:eastAsia="Times New Roman" w:hAnsi="Times New Roman" w:cs="Times New Roman"/>
        </w:rPr>
        <w:t xml:space="preserve"> aberturas de créditos adicionais para suplementar </w:t>
      </w:r>
      <w:r w:rsidR="00AA3E9B" w:rsidRPr="00F05EF7">
        <w:rPr>
          <w:rFonts w:ascii="Times New Roman" w:eastAsia="Times New Roman" w:hAnsi="Times New Roman" w:cs="Times New Roman"/>
        </w:rPr>
        <w:t>seus</w:t>
      </w:r>
      <w:r w:rsidRPr="00F05EF7">
        <w:rPr>
          <w:rFonts w:ascii="Times New Roman" w:eastAsia="Times New Roman" w:hAnsi="Times New Roman" w:cs="Times New Roman"/>
        </w:rPr>
        <w:t xml:space="preserve"> orçamento</w:t>
      </w:r>
      <w:r w:rsidR="00AA3E9B" w:rsidRPr="00F05EF7">
        <w:rPr>
          <w:rFonts w:ascii="Times New Roman" w:eastAsia="Times New Roman" w:hAnsi="Times New Roman" w:cs="Times New Roman"/>
        </w:rPr>
        <w:t>s</w:t>
      </w:r>
      <w:r w:rsidRPr="00F05EF7">
        <w:rPr>
          <w:rFonts w:ascii="Times New Roman" w:eastAsia="Times New Roman" w:hAnsi="Times New Roman" w:cs="Times New Roman"/>
        </w:rPr>
        <w:t xml:space="preserve"> </w:t>
      </w:r>
      <w:r w:rsidR="00AA3E9B" w:rsidRPr="00F05EF7">
        <w:rPr>
          <w:rFonts w:ascii="Times New Roman" w:eastAsia="Times New Roman" w:hAnsi="Times New Roman" w:cs="Times New Roman"/>
        </w:rPr>
        <w:t>imprecisos</w:t>
      </w:r>
      <w:r w:rsidRPr="00F05EF7">
        <w:rPr>
          <w:rFonts w:ascii="Times New Roman" w:eastAsia="Times New Roman" w:hAnsi="Times New Roman" w:cs="Times New Roman"/>
        </w:rPr>
        <w:t>,</w:t>
      </w:r>
      <w:r w:rsidR="00AA3E9B" w:rsidRPr="00F05EF7">
        <w:rPr>
          <w:rFonts w:ascii="Times New Roman" w:eastAsia="Times New Roman" w:hAnsi="Times New Roman" w:cs="Times New Roman"/>
        </w:rPr>
        <w:t xml:space="preserve"> as quais resultaram em vultosas realocações de recursos dentro da peça orçamentária.</w:t>
      </w:r>
    </w:p>
    <w:p w14:paraId="6F1019A5" w14:textId="66921F59" w:rsidR="00821527" w:rsidRPr="006026C8" w:rsidRDefault="00B42B26" w:rsidP="00AD5592">
      <w:pPr>
        <w:ind w:firstLine="720"/>
        <w:jc w:val="both"/>
        <w:rPr>
          <w:rFonts w:ascii="Times New Roman" w:eastAsia="Times New Roman" w:hAnsi="Times New Roman" w:cs="Times New Roman"/>
        </w:rPr>
      </w:pPr>
      <w:r w:rsidRPr="00F05EF7">
        <w:rPr>
          <w:rFonts w:ascii="Times New Roman" w:eastAsia="Times New Roman" w:hAnsi="Times New Roman" w:cs="Times New Roman"/>
        </w:rPr>
        <w:t>Nesse sentido, s</w:t>
      </w:r>
      <w:r w:rsidR="0010504B" w:rsidRPr="00F05EF7">
        <w:rPr>
          <w:rFonts w:ascii="Times New Roman" w:eastAsia="Times New Roman" w:hAnsi="Times New Roman" w:cs="Times New Roman"/>
        </w:rPr>
        <w:t xml:space="preserve">ugere-se, para melhoria dos planejamentos </w:t>
      </w:r>
      <w:r w:rsidR="0010504B" w:rsidRPr="006026C8">
        <w:rPr>
          <w:rFonts w:ascii="Times New Roman" w:eastAsia="Times New Roman" w:hAnsi="Times New Roman" w:cs="Times New Roman"/>
        </w:rPr>
        <w:t>orçamentários</w:t>
      </w:r>
      <w:r w:rsidR="00387D4A" w:rsidRPr="006026C8">
        <w:rPr>
          <w:rFonts w:ascii="Times New Roman" w:eastAsia="Times New Roman" w:hAnsi="Times New Roman" w:cs="Times New Roman"/>
        </w:rPr>
        <w:t>,</w:t>
      </w:r>
      <w:r w:rsidR="0010504B" w:rsidRPr="006026C8">
        <w:rPr>
          <w:rFonts w:ascii="Times New Roman" w:eastAsia="Times New Roman" w:hAnsi="Times New Roman" w:cs="Times New Roman"/>
        </w:rPr>
        <w:t xml:space="preserve"> algumas ações, </w:t>
      </w:r>
      <w:r w:rsidR="00387D4A" w:rsidRPr="006026C8">
        <w:rPr>
          <w:rFonts w:ascii="Times New Roman" w:eastAsia="Times New Roman" w:hAnsi="Times New Roman" w:cs="Times New Roman"/>
        </w:rPr>
        <w:t xml:space="preserve">as quais mostram-se </w:t>
      </w:r>
      <w:r w:rsidR="0010504B" w:rsidRPr="006026C8">
        <w:rPr>
          <w:rFonts w:ascii="Times New Roman" w:eastAsia="Times New Roman" w:hAnsi="Times New Roman" w:cs="Times New Roman"/>
        </w:rPr>
        <w:t xml:space="preserve">essenciais para que os municípios melhorem seus projetos de </w:t>
      </w:r>
      <w:r w:rsidR="00585119" w:rsidRPr="006026C8">
        <w:rPr>
          <w:rFonts w:ascii="Times New Roman" w:eastAsia="Times New Roman" w:hAnsi="Times New Roman" w:cs="Times New Roman"/>
        </w:rPr>
        <w:t>Lei Orçamentária</w:t>
      </w:r>
      <w:r w:rsidR="0010504B" w:rsidRPr="006026C8">
        <w:rPr>
          <w:rFonts w:ascii="Times New Roman" w:eastAsia="Times New Roman" w:hAnsi="Times New Roman" w:cs="Times New Roman"/>
        </w:rPr>
        <w:t>, tornando-os mais precisos e, consequentemente,</w:t>
      </w:r>
      <w:r w:rsidR="00387D4A" w:rsidRPr="006026C8">
        <w:rPr>
          <w:rFonts w:ascii="Times New Roman" w:eastAsia="Times New Roman" w:hAnsi="Times New Roman" w:cs="Times New Roman"/>
        </w:rPr>
        <w:t xml:space="preserve"> mais</w:t>
      </w:r>
      <w:r w:rsidR="0010504B" w:rsidRPr="006026C8">
        <w:rPr>
          <w:rFonts w:ascii="Times New Roman" w:eastAsia="Times New Roman" w:hAnsi="Times New Roman" w:cs="Times New Roman"/>
        </w:rPr>
        <w:t xml:space="preserve"> eficientes. As ações propostas são divididas em três eixos.</w:t>
      </w:r>
    </w:p>
    <w:p w14:paraId="57B4C3FA" w14:textId="66DA7107" w:rsidR="00821527" w:rsidRPr="006026C8" w:rsidRDefault="0010504B" w:rsidP="00AD5592">
      <w:pPr>
        <w:ind w:firstLine="720"/>
        <w:jc w:val="both"/>
        <w:rPr>
          <w:rFonts w:ascii="Times New Roman" w:eastAsia="Times New Roman" w:hAnsi="Times New Roman" w:cs="Times New Roman"/>
        </w:rPr>
      </w:pPr>
      <w:r w:rsidRPr="006026C8">
        <w:rPr>
          <w:rFonts w:ascii="Times New Roman" w:eastAsia="Times New Roman" w:hAnsi="Times New Roman" w:cs="Times New Roman"/>
        </w:rPr>
        <w:t xml:space="preserve">O primeiro deles diz respeito à melhoria das análises dos desempenhos orçamentários no âmbito dos municípios, nos seus exercícios anteriores, similar ao que defende </w:t>
      </w:r>
      <w:proofErr w:type="spellStart"/>
      <w:r w:rsidRPr="006026C8">
        <w:rPr>
          <w:rFonts w:ascii="Times New Roman" w:eastAsia="Times New Roman" w:hAnsi="Times New Roman" w:cs="Times New Roman"/>
        </w:rPr>
        <w:t>Welsch</w:t>
      </w:r>
      <w:proofErr w:type="spellEnd"/>
      <w:r w:rsidRPr="006026C8">
        <w:rPr>
          <w:rFonts w:ascii="Times New Roman" w:eastAsia="Times New Roman" w:hAnsi="Times New Roman" w:cs="Times New Roman"/>
        </w:rPr>
        <w:t xml:space="preserve"> (2015) no campo do planejamento orçamentário empresarial. Essa ação consiste na análise e avaliação das execuções orçamentárias de exercícios passados, pelos próprios municípios, com o fito de apurar onde estão as maiores discrepâncias entre o planejado e executado, de modo a subsidiar a alocação dos créditos orçamentários de acordo com a real necessidade</w:t>
      </w:r>
      <w:r w:rsidR="004F4AE5" w:rsidRPr="006026C8">
        <w:rPr>
          <w:rFonts w:ascii="Times New Roman" w:eastAsia="Times New Roman" w:hAnsi="Times New Roman" w:cs="Times New Roman"/>
        </w:rPr>
        <w:t xml:space="preserve"> do ente</w:t>
      </w:r>
      <w:r w:rsidRPr="006026C8">
        <w:rPr>
          <w:rFonts w:ascii="Times New Roman" w:eastAsia="Times New Roman" w:hAnsi="Times New Roman" w:cs="Times New Roman"/>
        </w:rPr>
        <w:t xml:space="preserve">, quando da elaboração do projeto de </w:t>
      </w:r>
      <w:r w:rsidR="00585119" w:rsidRPr="006026C8">
        <w:rPr>
          <w:rFonts w:ascii="Times New Roman" w:eastAsia="Times New Roman" w:hAnsi="Times New Roman" w:cs="Times New Roman"/>
        </w:rPr>
        <w:t>Lei Orçamentária</w:t>
      </w:r>
      <w:r w:rsidRPr="006026C8">
        <w:rPr>
          <w:rFonts w:ascii="Times New Roman" w:eastAsia="Times New Roman" w:hAnsi="Times New Roman" w:cs="Times New Roman"/>
        </w:rPr>
        <w:t>.</w:t>
      </w:r>
    </w:p>
    <w:p w14:paraId="4CCF4388" w14:textId="7B60B62B" w:rsidR="00821527" w:rsidRPr="00F05EF7" w:rsidRDefault="0010504B" w:rsidP="00AD5592">
      <w:pPr>
        <w:ind w:firstLine="720"/>
        <w:jc w:val="both"/>
        <w:rPr>
          <w:rFonts w:ascii="Times New Roman" w:eastAsia="Times New Roman" w:hAnsi="Times New Roman" w:cs="Times New Roman"/>
        </w:rPr>
      </w:pPr>
      <w:r w:rsidRPr="006026C8">
        <w:rPr>
          <w:rFonts w:ascii="Times New Roman" w:eastAsia="Times New Roman" w:hAnsi="Times New Roman" w:cs="Times New Roman"/>
        </w:rPr>
        <w:t>O segundo eixo, por sua vez, diz respeito à realização de revisões na peça</w:t>
      </w:r>
      <w:r w:rsidRPr="00F05EF7">
        <w:rPr>
          <w:rFonts w:ascii="Times New Roman" w:eastAsia="Times New Roman" w:hAnsi="Times New Roman" w:cs="Times New Roman"/>
        </w:rPr>
        <w:t xml:space="preserve"> orçamentária no curso do próprio exercício financeiro e é defendida, no âmbito do planejamento orçamentário empresarial, por Bruni e Gomes (2010); </w:t>
      </w:r>
      <w:proofErr w:type="spellStart"/>
      <w:r w:rsidRPr="00F05EF7">
        <w:rPr>
          <w:rFonts w:ascii="Times New Roman" w:eastAsia="Times New Roman" w:hAnsi="Times New Roman" w:cs="Times New Roman"/>
        </w:rPr>
        <w:t>Lunkes</w:t>
      </w:r>
      <w:proofErr w:type="spellEnd"/>
      <w:r w:rsidRPr="00F05EF7">
        <w:rPr>
          <w:rFonts w:ascii="Times New Roman" w:eastAsia="Times New Roman" w:hAnsi="Times New Roman" w:cs="Times New Roman"/>
        </w:rPr>
        <w:t xml:space="preserve"> (2009); </w:t>
      </w:r>
      <w:proofErr w:type="spellStart"/>
      <w:r w:rsidRPr="00F05EF7">
        <w:rPr>
          <w:rFonts w:ascii="Times New Roman" w:eastAsia="Times New Roman" w:hAnsi="Times New Roman" w:cs="Times New Roman"/>
        </w:rPr>
        <w:t>Padoveze</w:t>
      </w:r>
      <w:proofErr w:type="spellEnd"/>
      <w:r w:rsidRPr="00F05EF7">
        <w:rPr>
          <w:rFonts w:ascii="Times New Roman" w:eastAsia="Times New Roman" w:hAnsi="Times New Roman" w:cs="Times New Roman"/>
        </w:rPr>
        <w:t xml:space="preserve"> e Taranto (2009), </w:t>
      </w:r>
      <w:proofErr w:type="spellStart"/>
      <w:r w:rsidRPr="00F05EF7">
        <w:rPr>
          <w:rFonts w:ascii="Times New Roman" w:eastAsia="Times New Roman" w:hAnsi="Times New Roman" w:cs="Times New Roman"/>
        </w:rPr>
        <w:t>Welsch</w:t>
      </w:r>
      <w:proofErr w:type="spellEnd"/>
      <w:r w:rsidRPr="00F05EF7">
        <w:rPr>
          <w:rFonts w:ascii="Times New Roman" w:eastAsia="Times New Roman" w:hAnsi="Times New Roman" w:cs="Times New Roman"/>
        </w:rPr>
        <w:t xml:space="preserve"> (2015) e </w:t>
      </w:r>
      <w:proofErr w:type="spellStart"/>
      <w:r w:rsidRPr="00F05EF7">
        <w:rPr>
          <w:rFonts w:ascii="Times New Roman" w:eastAsia="Times New Roman" w:hAnsi="Times New Roman" w:cs="Times New Roman"/>
        </w:rPr>
        <w:t>Munger</w:t>
      </w:r>
      <w:proofErr w:type="spellEnd"/>
      <w:r w:rsidRPr="00F05EF7">
        <w:rPr>
          <w:rFonts w:ascii="Times New Roman" w:eastAsia="Times New Roman" w:hAnsi="Times New Roman" w:cs="Times New Roman"/>
        </w:rPr>
        <w:t xml:space="preserve"> (2015). Essa ação implica na revisão da peça orçamentária no curso do exercício financeiro, ou seja, ensejaria uma revisão/avaliação trimestral ou semestral da execução orçamentária </w:t>
      </w:r>
      <w:r w:rsidR="00FC18FB" w:rsidRPr="00F05EF7">
        <w:rPr>
          <w:rFonts w:ascii="Times New Roman" w:eastAsia="Times New Roman" w:hAnsi="Times New Roman" w:cs="Times New Roman"/>
        </w:rPr>
        <w:t>realizada até o</w:t>
      </w:r>
      <w:r w:rsidRPr="00F05EF7">
        <w:rPr>
          <w:rFonts w:ascii="Times New Roman" w:eastAsia="Times New Roman" w:hAnsi="Times New Roman" w:cs="Times New Roman"/>
        </w:rPr>
        <w:t xml:space="preserve"> momento, de modo a apurar onde se encontram as maiores diferenças entre o orçado e executado.</w:t>
      </w:r>
    </w:p>
    <w:p w14:paraId="682FC5B0" w14:textId="77777777" w:rsidR="00FC18FB" w:rsidRPr="00F05EF7" w:rsidRDefault="0010504B" w:rsidP="00AD5592">
      <w:pPr>
        <w:ind w:firstLine="720"/>
        <w:jc w:val="both"/>
        <w:rPr>
          <w:rFonts w:ascii="Times New Roman" w:eastAsia="Times New Roman" w:hAnsi="Times New Roman" w:cs="Times New Roman"/>
        </w:rPr>
      </w:pPr>
      <w:r w:rsidRPr="00F05EF7">
        <w:rPr>
          <w:rFonts w:ascii="Times New Roman" w:eastAsia="Times New Roman" w:hAnsi="Times New Roman" w:cs="Times New Roman"/>
        </w:rPr>
        <w:t xml:space="preserve">Por fim, o terceiro eixo diz respeito à intensificação dos controles e acompanhamento do orçamento, de forma individualizada, por secretarias e/ou unidades. Essa ação é usualmente proposta na seara do planejamento orçamentário empresarial por Bruni e Gomes (2010); </w:t>
      </w:r>
      <w:proofErr w:type="spellStart"/>
      <w:r w:rsidRPr="00F05EF7">
        <w:rPr>
          <w:rFonts w:ascii="Times New Roman" w:eastAsia="Times New Roman" w:hAnsi="Times New Roman" w:cs="Times New Roman"/>
        </w:rPr>
        <w:t>Frezatti</w:t>
      </w:r>
      <w:proofErr w:type="spellEnd"/>
      <w:r w:rsidRPr="00F05EF7">
        <w:rPr>
          <w:rFonts w:ascii="Times New Roman" w:eastAsia="Times New Roman" w:hAnsi="Times New Roman" w:cs="Times New Roman"/>
        </w:rPr>
        <w:t xml:space="preserve"> (2009); </w:t>
      </w:r>
      <w:proofErr w:type="spellStart"/>
      <w:r w:rsidRPr="00F05EF7">
        <w:rPr>
          <w:rFonts w:ascii="Times New Roman" w:eastAsia="Times New Roman" w:hAnsi="Times New Roman" w:cs="Times New Roman"/>
        </w:rPr>
        <w:t>Guindani</w:t>
      </w:r>
      <w:proofErr w:type="spellEnd"/>
      <w:r w:rsidRPr="00F05EF7">
        <w:rPr>
          <w:rFonts w:ascii="Times New Roman" w:eastAsia="Times New Roman" w:hAnsi="Times New Roman" w:cs="Times New Roman"/>
        </w:rPr>
        <w:t xml:space="preserve"> et. al (2012); </w:t>
      </w:r>
      <w:proofErr w:type="spellStart"/>
      <w:r w:rsidRPr="00F05EF7">
        <w:rPr>
          <w:rFonts w:ascii="Times New Roman" w:eastAsia="Times New Roman" w:hAnsi="Times New Roman" w:cs="Times New Roman"/>
        </w:rPr>
        <w:t>Lunkes</w:t>
      </w:r>
      <w:proofErr w:type="spellEnd"/>
      <w:r w:rsidRPr="00F05EF7">
        <w:rPr>
          <w:rFonts w:ascii="Times New Roman" w:eastAsia="Times New Roman" w:hAnsi="Times New Roman" w:cs="Times New Roman"/>
        </w:rPr>
        <w:t xml:space="preserve"> (2009); </w:t>
      </w:r>
      <w:proofErr w:type="spellStart"/>
      <w:r w:rsidRPr="00F05EF7">
        <w:rPr>
          <w:rFonts w:ascii="Times New Roman" w:eastAsia="Times New Roman" w:hAnsi="Times New Roman" w:cs="Times New Roman"/>
        </w:rPr>
        <w:t>Padoveze</w:t>
      </w:r>
      <w:proofErr w:type="spellEnd"/>
      <w:r w:rsidRPr="00F05EF7">
        <w:rPr>
          <w:rFonts w:ascii="Times New Roman" w:eastAsia="Times New Roman" w:hAnsi="Times New Roman" w:cs="Times New Roman"/>
        </w:rPr>
        <w:t xml:space="preserve"> e Taranto (2009); </w:t>
      </w:r>
      <w:proofErr w:type="spellStart"/>
      <w:r w:rsidRPr="00F05EF7">
        <w:rPr>
          <w:rFonts w:ascii="Times New Roman" w:eastAsia="Times New Roman" w:hAnsi="Times New Roman" w:cs="Times New Roman"/>
        </w:rPr>
        <w:t>Sertek</w:t>
      </w:r>
      <w:proofErr w:type="spellEnd"/>
      <w:r w:rsidR="00FC18FB" w:rsidRPr="00F05EF7">
        <w:rPr>
          <w:rFonts w:ascii="Times New Roman" w:eastAsia="Times New Roman" w:hAnsi="Times New Roman" w:cs="Times New Roman"/>
        </w:rPr>
        <w:t xml:space="preserve"> et. al (2011) e </w:t>
      </w:r>
      <w:proofErr w:type="spellStart"/>
      <w:r w:rsidR="00FC18FB" w:rsidRPr="00F05EF7">
        <w:rPr>
          <w:rFonts w:ascii="Times New Roman" w:eastAsia="Times New Roman" w:hAnsi="Times New Roman" w:cs="Times New Roman"/>
        </w:rPr>
        <w:t>Welsch</w:t>
      </w:r>
      <w:proofErr w:type="spellEnd"/>
      <w:r w:rsidR="00FC18FB" w:rsidRPr="00F05EF7">
        <w:rPr>
          <w:rFonts w:ascii="Times New Roman" w:eastAsia="Times New Roman" w:hAnsi="Times New Roman" w:cs="Times New Roman"/>
        </w:rPr>
        <w:t xml:space="preserve"> (2015).</w:t>
      </w:r>
    </w:p>
    <w:p w14:paraId="4C376EE2" w14:textId="0E45A178" w:rsidR="00FC18FB" w:rsidRPr="00F05EF7" w:rsidRDefault="0010504B" w:rsidP="00AD5592">
      <w:pPr>
        <w:ind w:firstLine="720"/>
        <w:jc w:val="both"/>
        <w:rPr>
          <w:rFonts w:ascii="Times New Roman" w:eastAsia="Times New Roman" w:hAnsi="Times New Roman" w:cs="Times New Roman"/>
        </w:rPr>
      </w:pPr>
      <w:r w:rsidRPr="00F05EF7">
        <w:rPr>
          <w:rFonts w:ascii="Times New Roman" w:eastAsia="Times New Roman" w:hAnsi="Times New Roman" w:cs="Times New Roman"/>
        </w:rPr>
        <w:t>Esse eixo de ação sugere a implementação de controles mais rigorosos de execução orçament</w:t>
      </w:r>
      <w:r w:rsidR="00E4270C">
        <w:rPr>
          <w:rFonts w:ascii="Times New Roman" w:eastAsia="Times New Roman" w:hAnsi="Times New Roman" w:cs="Times New Roman"/>
        </w:rPr>
        <w:t xml:space="preserve">ária por parte não só do </w:t>
      </w:r>
      <w:r w:rsidR="00E4270C" w:rsidRPr="006026C8">
        <w:rPr>
          <w:rFonts w:ascii="Times New Roman" w:eastAsia="Times New Roman" w:hAnsi="Times New Roman" w:cs="Times New Roman"/>
        </w:rPr>
        <w:t>setor c</w:t>
      </w:r>
      <w:r w:rsidRPr="006026C8">
        <w:rPr>
          <w:rFonts w:ascii="Times New Roman" w:eastAsia="Times New Roman" w:hAnsi="Times New Roman" w:cs="Times New Roman"/>
        </w:rPr>
        <w:t>ontábil, como</w:t>
      </w:r>
      <w:r w:rsidRPr="00F05EF7">
        <w:rPr>
          <w:rFonts w:ascii="Times New Roman" w:eastAsia="Times New Roman" w:hAnsi="Times New Roman" w:cs="Times New Roman"/>
        </w:rPr>
        <w:t xml:space="preserve"> também </w:t>
      </w:r>
      <w:r w:rsidR="00FC18FB" w:rsidRPr="00F05EF7">
        <w:rPr>
          <w:rFonts w:ascii="Times New Roman" w:eastAsia="Times New Roman" w:hAnsi="Times New Roman" w:cs="Times New Roman"/>
        </w:rPr>
        <w:t>das</w:t>
      </w:r>
      <w:r w:rsidRPr="00F05EF7">
        <w:rPr>
          <w:rFonts w:ascii="Times New Roman" w:eastAsia="Times New Roman" w:hAnsi="Times New Roman" w:cs="Times New Roman"/>
        </w:rPr>
        <w:t xml:space="preserve"> Secretarias Municipais, de modo a buscar uma alocação de recursos mais eficiente, conforme as demandas </w:t>
      </w:r>
      <w:r w:rsidR="00FC18FB" w:rsidRPr="00F05EF7">
        <w:rPr>
          <w:rFonts w:ascii="Times New Roman" w:eastAsia="Times New Roman" w:hAnsi="Times New Roman" w:cs="Times New Roman"/>
        </w:rPr>
        <w:t xml:space="preserve">de cada uma das </w:t>
      </w:r>
      <w:r w:rsidRPr="00F05EF7">
        <w:rPr>
          <w:rFonts w:ascii="Times New Roman" w:eastAsia="Times New Roman" w:hAnsi="Times New Roman" w:cs="Times New Roman"/>
        </w:rPr>
        <w:t>pasta</w:t>
      </w:r>
      <w:r w:rsidR="00FC18FB" w:rsidRPr="00F05EF7">
        <w:rPr>
          <w:rFonts w:ascii="Times New Roman" w:eastAsia="Times New Roman" w:hAnsi="Times New Roman" w:cs="Times New Roman"/>
        </w:rPr>
        <w:t>s do município</w:t>
      </w:r>
      <w:r w:rsidR="005215F1">
        <w:rPr>
          <w:rFonts w:ascii="Times New Roman" w:eastAsia="Times New Roman" w:hAnsi="Times New Roman" w:cs="Times New Roman"/>
        </w:rPr>
        <w:t>.</w:t>
      </w:r>
    </w:p>
    <w:p w14:paraId="14649555" w14:textId="3400A470" w:rsidR="006C21EF" w:rsidRDefault="0010504B" w:rsidP="00AD5592">
      <w:pPr>
        <w:ind w:firstLine="720"/>
        <w:jc w:val="both"/>
        <w:rPr>
          <w:rFonts w:ascii="Times New Roman" w:eastAsia="Times New Roman" w:hAnsi="Times New Roman" w:cs="Times New Roman"/>
        </w:rPr>
      </w:pPr>
      <w:r w:rsidRPr="00F05EF7">
        <w:rPr>
          <w:rFonts w:ascii="Times New Roman" w:eastAsia="Times New Roman" w:hAnsi="Times New Roman" w:cs="Times New Roman"/>
        </w:rPr>
        <w:t xml:space="preserve">As ações propostas </w:t>
      </w:r>
      <w:r w:rsidR="00FC18FB" w:rsidRPr="00F05EF7">
        <w:rPr>
          <w:rFonts w:ascii="Times New Roman" w:eastAsia="Times New Roman" w:hAnsi="Times New Roman" w:cs="Times New Roman"/>
        </w:rPr>
        <w:t xml:space="preserve">e suas descrições </w:t>
      </w:r>
      <w:r w:rsidRPr="00F05EF7">
        <w:rPr>
          <w:rFonts w:ascii="Times New Roman" w:eastAsia="Times New Roman" w:hAnsi="Times New Roman" w:cs="Times New Roman"/>
        </w:rPr>
        <w:t xml:space="preserve">podem ser </w:t>
      </w:r>
      <w:r w:rsidR="00FC18FB" w:rsidRPr="00F05EF7">
        <w:rPr>
          <w:rFonts w:ascii="Times New Roman" w:eastAsia="Times New Roman" w:hAnsi="Times New Roman" w:cs="Times New Roman"/>
        </w:rPr>
        <w:t xml:space="preserve">melhor </w:t>
      </w:r>
      <w:r w:rsidRPr="00F05EF7">
        <w:rPr>
          <w:rFonts w:ascii="Times New Roman" w:eastAsia="Times New Roman" w:hAnsi="Times New Roman" w:cs="Times New Roman"/>
        </w:rPr>
        <w:t xml:space="preserve">observadas no </w:t>
      </w:r>
      <w:r w:rsidR="00FC18FB" w:rsidRPr="00F05EF7">
        <w:rPr>
          <w:rFonts w:ascii="Times New Roman" w:eastAsia="Times New Roman" w:hAnsi="Times New Roman" w:cs="Times New Roman"/>
        </w:rPr>
        <w:t>Q</w:t>
      </w:r>
      <w:r w:rsidRPr="00F05EF7">
        <w:rPr>
          <w:rFonts w:ascii="Times New Roman" w:eastAsia="Times New Roman" w:hAnsi="Times New Roman" w:cs="Times New Roman"/>
        </w:rPr>
        <w:t xml:space="preserve">uadro </w:t>
      </w:r>
      <w:r w:rsidR="00101F49" w:rsidRPr="00F05EF7">
        <w:rPr>
          <w:rFonts w:ascii="Times New Roman" w:eastAsia="Times New Roman" w:hAnsi="Times New Roman" w:cs="Times New Roman"/>
        </w:rPr>
        <w:t>4</w:t>
      </w:r>
      <w:r w:rsidR="00FC18FB" w:rsidRPr="00F05EF7">
        <w:rPr>
          <w:rFonts w:ascii="Times New Roman" w:eastAsia="Times New Roman" w:hAnsi="Times New Roman" w:cs="Times New Roman"/>
        </w:rPr>
        <w:t>, apresentado a seguir</w:t>
      </w:r>
      <w:r w:rsidRPr="00F05EF7">
        <w:rPr>
          <w:rFonts w:ascii="Times New Roman" w:eastAsia="Times New Roman" w:hAnsi="Times New Roman" w:cs="Times New Roman"/>
        </w:rPr>
        <w:t>.</w:t>
      </w:r>
    </w:p>
    <w:p w14:paraId="17B12359" w14:textId="3DF2B519" w:rsidR="00930D82" w:rsidRDefault="00930D82" w:rsidP="00AD5592">
      <w:pPr>
        <w:ind w:firstLine="720"/>
        <w:jc w:val="both"/>
        <w:rPr>
          <w:rFonts w:ascii="Times New Roman" w:eastAsia="Times New Roman" w:hAnsi="Times New Roman" w:cs="Times New Roman"/>
        </w:rPr>
      </w:pPr>
    </w:p>
    <w:p w14:paraId="231A5A13" w14:textId="0EBD0415" w:rsidR="006026C8" w:rsidRDefault="006026C8" w:rsidP="00AD5592">
      <w:pPr>
        <w:ind w:firstLine="720"/>
        <w:jc w:val="both"/>
        <w:rPr>
          <w:rFonts w:ascii="Times New Roman" w:eastAsia="Times New Roman" w:hAnsi="Times New Roman" w:cs="Times New Roman"/>
        </w:rPr>
      </w:pPr>
    </w:p>
    <w:p w14:paraId="045250B5" w14:textId="2C83A3C8" w:rsidR="006026C8" w:rsidRDefault="006026C8" w:rsidP="00AD5592">
      <w:pPr>
        <w:ind w:firstLine="720"/>
        <w:jc w:val="both"/>
        <w:rPr>
          <w:rFonts w:ascii="Times New Roman" w:eastAsia="Times New Roman" w:hAnsi="Times New Roman" w:cs="Times New Roman"/>
        </w:rPr>
      </w:pPr>
    </w:p>
    <w:p w14:paraId="512F0A05" w14:textId="110EE3FE" w:rsidR="006026C8" w:rsidRDefault="006026C8" w:rsidP="00AD5592">
      <w:pPr>
        <w:ind w:firstLine="720"/>
        <w:jc w:val="both"/>
        <w:rPr>
          <w:rFonts w:ascii="Times New Roman" w:eastAsia="Times New Roman" w:hAnsi="Times New Roman" w:cs="Times New Roman"/>
        </w:rPr>
      </w:pPr>
    </w:p>
    <w:p w14:paraId="034D3043" w14:textId="6C137CC5" w:rsidR="006026C8" w:rsidRDefault="006026C8" w:rsidP="00AD5592">
      <w:pPr>
        <w:ind w:firstLine="720"/>
        <w:jc w:val="both"/>
        <w:rPr>
          <w:rFonts w:ascii="Times New Roman" w:eastAsia="Times New Roman" w:hAnsi="Times New Roman" w:cs="Times New Roman"/>
        </w:rPr>
      </w:pPr>
    </w:p>
    <w:p w14:paraId="42A69571" w14:textId="0FBD213F" w:rsidR="006026C8" w:rsidRDefault="006026C8" w:rsidP="00AD5592">
      <w:pPr>
        <w:ind w:firstLine="720"/>
        <w:jc w:val="both"/>
        <w:rPr>
          <w:rFonts w:ascii="Times New Roman" w:eastAsia="Times New Roman" w:hAnsi="Times New Roman" w:cs="Times New Roman"/>
        </w:rPr>
      </w:pPr>
    </w:p>
    <w:p w14:paraId="65B130A5" w14:textId="77777777" w:rsidR="006026C8" w:rsidRPr="00F05EF7" w:rsidRDefault="006026C8" w:rsidP="00AD5592">
      <w:pPr>
        <w:ind w:firstLine="720"/>
        <w:jc w:val="both"/>
        <w:rPr>
          <w:rFonts w:ascii="Times New Roman" w:eastAsia="Times New Roman" w:hAnsi="Times New Roman" w:cs="Times New Roman"/>
        </w:rPr>
      </w:pPr>
    </w:p>
    <w:p w14:paraId="71C1A3EF" w14:textId="213FD469" w:rsidR="00821527" w:rsidRPr="00AF0520" w:rsidRDefault="0010504B" w:rsidP="00AF0520">
      <w:pPr>
        <w:jc w:val="center"/>
        <w:rPr>
          <w:rFonts w:ascii="Times New Roman" w:eastAsia="Times New Roman" w:hAnsi="Times New Roman" w:cs="Times New Roman"/>
          <w:b/>
          <w:bCs/>
        </w:rPr>
      </w:pPr>
      <w:r w:rsidRPr="00AF0520">
        <w:rPr>
          <w:rFonts w:ascii="Times New Roman" w:eastAsia="Times New Roman" w:hAnsi="Times New Roman" w:cs="Times New Roman"/>
          <w:b/>
          <w:bCs/>
        </w:rPr>
        <w:lastRenderedPageBreak/>
        <w:t xml:space="preserve">Quadro </w:t>
      </w:r>
      <w:r w:rsidR="00E8716D" w:rsidRPr="00AF0520">
        <w:rPr>
          <w:rFonts w:ascii="Times New Roman" w:eastAsia="Times New Roman" w:hAnsi="Times New Roman" w:cs="Times New Roman"/>
          <w:b/>
          <w:bCs/>
        </w:rPr>
        <w:t>4</w:t>
      </w:r>
      <w:r w:rsidRPr="00AF0520">
        <w:rPr>
          <w:rFonts w:ascii="Times New Roman" w:eastAsia="Times New Roman" w:hAnsi="Times New Roman" w:cs="Times New Roman"/>
          <w:b/>
          <w:bCs/>
        </w:rPr>
        <w:t xml:space="preserve"> - Plano de ações</w:t>
      </w:r>
    </w:p>
    <w:tbl>
      <w:tblPr>
        <w:tblStyle w:val="aff2"/>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98"/>
        <w:gridCol w:w="3368"/>
        <w:gridCol w:w="2785"/>
      </w:tblGrid>
      <w:tr w:rsidR="00F05EF7" w:rsidRPr="00F05EF7" w14:paraId="0A150E49" w14:textId="77777777" w:rsidTr="00930D82">
        <w:trPr>
          <w:trHeight w:val="341"/>
        </w:trPr>
        <w:tc>
          <w:tcPr>
            <w:tcW w:w="0" w:type="auto"/>
            <w:shd w:val="clear" w:color="auto" w:fill="auto"/>
            <w:tcMar>
              <w:top w:w="100" w:type="dxa"/>
              <w:left w:w="100" w:type="dxa"/>
              <w:bottom w:w="100" w:type="dxa"/>
              <w:right w:w="100" w:type="dxa"/>
            </w:tcMar>
          </w:tcPr>
          <w:p w14:paraId="2CBB01A9"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Ações</w:t>
            </w:r>
          </w:p>
        </w:tc>
        <w:tc>
          <w:tcPr>
            <w:tcW w:w="0" w:type="auto"/>
            <w:shd w:val="clear" w:color="auto" w:fill="auto"/>
            <w:tcMar>
              <w:top w:w="100" w:type="dxa"/>
              <w:left w:w="100" w:type="dxa"/>
              <w:bottom w:w="100" w:type="dxa"/>
              <w:right w:w="100" w:type="dxa"/>
            </w:tcMar>
          </w:tcPr>
          <w:p w14:paraId="1D3B715C"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Descrição</w:t>
            </w:r>
          </w:p>
        </w:tc>
        <w:tc>
          <w:tcPr>
            <w:tcW w:w="0" w:type="auto"/>
            <w:shd w:val="clear" w:color="auto" w:fill="auto"/>
            <w:tcMar>
              <w:top w:w="100" w:type="dxa"/>
              <w:left w:w="100" w:type="dxa"/>
              <w:bottom w:w="100" w:type="dxa"/>
              <w:right w:w="100" w:type="dxa"/>
            </w:tcMar>
          </w:tcPr>
          <w:p w14:paraId="0C789C69"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b/>
                <w:sz w:val="20"/>
                <w:szCs w:val="20"/>
              </w:rPr>
            </w:pPr>
            <w:r w:rsidRPr="00F05EF7">
              <w:rPr>
                <w:rFonts w:ascii="Times New Roman" w:eastAsia="Times New Roman" w:hAnsi="Times New Roman" w:cs="Times New Roman"/>
                <w:b/>
                <w:sz w:val="20"/>
                <w:szCs w:val="20"/>
              </w:rPr>
              <w:t>Referência</w:t>
            </w:r>
          </w:p>
        </w:tc>
      </w:tr>
      <w:tr w:rsidR="00F05EF7" w:rsidRPr="00F05EF7" w14:paraId="0126C5F0" w14:textId="77777777" w:rsidTr="00930D82">
        <w:trPr>
          <w:trHeight w:val="1028"/>
        </w:trPr>
        <w:tc>
          <w:tcPr>
            <w:tcW w:w="0" w:type="auto"/>
            <w:shd w:val="clear" w:color="auto" w:fill="auto"/>
            <w:tcMar>
              <w:top w:w="100" w:type="dxa"/>
              <w:left w:w="100" w:type="dxa"/>
              <w:bottom w:w="100" w:type="dxa"/>
              <w:right w:w="100" w:type="dxa"/>
            </w:tcMar>
          </w:tcPr>
          <w:p w14:paraId="64D1CB74"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Melhorar a análise dos desempenhos orçamentários de exercícios anteriores.</w:t>
            </w:r>
          </w:p>
        </w:tc>
        <w:tc>
          <w:tcPr>
            <w:tcW w:w="0" w:type="auto"/>
            <w:shd w:val="clear" w:color="auto" w:fill="auto"/>
            <w:tcMar>
              <w:top w:w="100" w:type="dxa"/>
              <w:left w:w="100" w:type="dxa"/>
              <w:bottom w:w="100" w:type="dxa"/>
              <w:right w:w="100" w:type="dxa"/>
            </w:tcMar>
          </w:tcPr>
          <w:p w14:paraId="5F76FF2D"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Analisar execuções orçamentárias de períodos passados, buscando identificar onde estão as maiores discrepâncias.</w:t>
            </w:r>
          </w:p>
        </w:tc>
        <w:tc>
          <w:tcPr>
            <w:tcW w:w="0" w:type="auto"/>
            <w:shd w:val="clear" w:color="auto" w:fill="auto"/>
            <w:tcMar>
              <w:top w:w="100" w:type="dxa"/>
              <w:left w:w="100" w:type="dxa"/>
              <w:bottom w:w="100" w:type="dxa"/>
              <w:right w:w="100" w:type="dxa"/>
            </w:tcMar>
          </w:tcPr>
          <w:p w14:paraId="7328399C" w14:textId="77777777" w:rsidR="00821527" w:rsidRPr="00F05EF7" w:rsidRDefault="00821527" w:rsidP="00AD5592">
            <w:pPr>
              <w:widowControl w:val="0"/>
              <w:pBdr>
                <w:top w:val="nil"/>
                <w:left w:val="nil"/>
                <w:bottom w:val="nil"/>
                <w:right w:val="nil"/>
                <w:between w:val="nil"/>
              </w:pBdr>
              <w:jc w:val="center"/>
              <w:rPr>
                <w:rFonts w:ascii="Times New Roman" w:eastAsia="Times New Roman" w:hAnsi="Times New Roman" w:cs="Times New Roman"/>
                <w:sz w:val="20"/>
                <w:szCs w:val="20"/>
              </w:rPr>
            </w:pPr>
          </w:p>
          <w:p w14:paraId="693714D3"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proofErr w:type="spellStart"/>
            <w:r w:rsidRPr="00F05EF7">
              <w:rPr>
                <w:rFonts w:ascii="Times New Roman" w:eastAsia="Times New Roman" w:hAnsi="Times New Roman" w:cs="Times New Roman"/>
                <w:sz w:val="20"/>
                <w:szCs w:val="20"/>
              </w:rPr>
              <w:t>Welsch</w:t>
            </w:r>
            <w:proofErr w:type="spellEnd"/>
            <w:r w:rsidRPr="00F05EF7">
              <w:rPr>
                <w:rFonts w:ascii="Times New Roman" w:eastAsia="Times New Roman" w:hAnsi="Times New Roman" w:cs="Times New Roman"/>
                <w:sz w:val="20"/>
                <w:szCs w:val="20"/>
              </w:rPr>
              <w:t xml:space="preserve"> (2015)</w:t>
            </w:r>
          </w:p>
        </w:tc>
      </w:tr>
      <w:tr w:rsidR="00F05EF7" w:rsidRPr="00F05EF7" w14:paraId="0A6CB046" w14:textId="77777777" w:rsidTr="00930D82">
        <w:tc>
          <w:tcPr>
            <w:tcW w:w="0" w:type="auto"/>
            <w:shd w:val="clear" w:color="auto" w:fill="auto"/>
            <w:tcMar>
              <w:top w:w="100" w:type="dxa"/>
              <w:left w:w="100" w:type="dxa"/>
              <w:bottom w:w="100" w:type="dxa"/>
              <w:right w:w="100" w:type="dxa"/>
            </w:tcMar>
          </w:tcPr>
          <w:p w14:paraId="47842F26"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Fazer revisões orçamentárias também durante o curso do exercício financeiro.</w:t>
            </w:r>
          </w:p>
        </w:tc>
        <w:tc>
          <w:tcPr>
            <w:tcW w:w="0" w:type="auto"/>
            <w:shd w:val="clear" w:color="auto" w:fill="auto"/>
            <w:tcMar>
              <w:top w:w="100" w:type="dxa"/>
              <w:left w:w="100" w:type="dxa"/>
              <w:bottom w:w="100" w:type="dxa"/>
              <w:right w:w="100" w:type="dxa"/>
            </w:tcMar>
          </w:tcPr>
          <w:p w14:paraId="3511B007"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Revisar e acompanhar a execução orçamentária uma ou duas vezes ao ano, durante sua execução.</w:t>
            </w:r>
          </w:p>
        </w:tc>
        <w:tc>
          <w:tcPr>
            <w:tcW w:w="0" w:type="auto"/>
            <w:shd w:val="clear" w:color="auto" w:fill="auto"/>
            <w:tcMar>
              <w:top w:w="100" w:type="dxa"/>
              <w:left w:w="100" w:type="dxa"/>
              <w:bottom w:w="100" w:type="dxa"/>
              <w:right w:w="100" w:type="dxa"/>
            </w:tcMar>
          </w:tcPr>
          <w:p w14:paraId="029ADF14"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xml:space="preserve">Bruni e Gomes (2010); </w:t>
            </w:r>
            <w:proofErr w:type="spellStart"/>
            <w:r w:rsidRPr="00F05EF7">
              <w:rPr>
                <w:rFonts w:ascii="Times New Roman" w:eastAsia="Times New Roman" w:hAnsi="Times New Roman" w:cs="Times New Roman"/>
                <w:sz w:val="20"/>
                <w:szCs w:val="20"/>
              </w:rPr>
              <w:t>Lunkes</w:t>
            </w:r>
            <w:proofErr w:type="spellEnd"/>
            <w:r w:rsidRPr="00F05EF7">
              <w:rPr>
                <w:rFonts w:ascii="Times New Roman" w:eastAsia="Times New Roman" w:hAnsi="Times New Roman" w:cs="Times New Roman"/>
                <w:sz w:val="20"/>
                <w:szCs w:val="20"/>
              </w:rPr>
              <w:t xml:space="preserve"> (2009); </w:t>
            </w:r>
            <w:proofErr w:type="spellStart"/>
            <w:r w:rsidRPr="00F05EF7">
              <w:rPr>
                <w:rFonts w:ascii="Times New Roman" w:eastAsia="Times New Roman" w:hAnsi="Times New Roman" w:cs="Times New Roman"/>
                <w:sz w:val="20"/>
                <w:szCs w:val="20"/>
              </w:rPr>
              <w:t>Padoveze</w:t>
            </w:r>
            <w:proofErr w:type="spellEnd"/>
            <w:r w:rsidRPr="00F05EF7">
              <w:rPr>
                <w:rFonts w:ascii="Times New Roman" w:eastAsia="Times New Roman" w:hAnsi="Times New Roman" w:cs="Times New Roman"/>
                <w:sz w:val="20"/>
                <w:szCs w:val="20"/>
              </w:rPr>
              <w:t xml:space="preserve"> e Taranto (2009); </w:t>
            </w:r>
            <w:proofErr w:type="spellStart"/>
            <w:r w:rsidRPr="00F05EF7">
              <w:rPr>
                <w:rFonts w:ascii="Times New Roman" w:eastAsia="Times New Roman" w:hAnsi="Times New Roman" w:cs="Times New Roman"/>
                <w:sz w:val="20"/>
                <w:szCs w:val="20"/>
              </w:rPr>
              <w:t>Welsch</w:t>
            </w:r>
            <w:proofErr w:type="spellEnd"/>
            <w:r w:rsidRPr="00F05EF7">
              <w:rPr>
                <w:rFonts w:ascii="Times New Roman" w:eastAsia="Times New Roman" w:hAnsi="Times New Roman" w:cs="Times New Roman"/>
                <w:sz w:val="20"/>
                <w:szCs w:val="20"/>
              </w:rPr>
              <w:t xml:space="preserve"> (2015); </w:t>
            </w:r>
            <w:proofErr w:type="spellStart"/>
            <w:r w:rsidRPr="00F05EF7">
              <w:rPr>
                <w:rFonts w:ascii="Times New Roman" w:eastAsia="Times New Roman" w:hAnsi="Times New Roman" w:cs="Times New Roman"/>
                <w:sz w:val="20"/>
                <w:szCs w:val="20"/>
              </w:rPr>
              <w:t>Munger</w:t>
            </w:r>
            <w:proofErr w:type="spellEnd"/>
            <w:r w:rsidRPr="00F05EF7">
              <w:rPr>
                <w:rFonts w:ascii="Times New Roman" w:eastAsia="Times New Roman" w:hAnsi="Times New Roman" w:cs="Times New Roman"/>
                <w:sz w:val="20"/>
                <w:szCs w:val="20"/>
              </w:rPr>
              <w:t xml:space="preserve"> (2015)</w:t>
            </w:r>
          </w:p>
        </w:tc>
      </w:tr>
      <w:tr w:rsidR="00F05EF7" w:rsidRPr="00F05EF7" w14:paraId="13BEE617" w14:textId="77777777" w:rsidTr="00930D82">
        <w:trPr>
          <w:trHeight w:val="1206"/>
        </w:trPr>
        <w:tc>
          <w:tcPr>
            <w:tcW w:w="0" w:type="auto"/>
            <w:shd w:val="clear" w:color="auto" w:fill="auto"/>
            <w:tcMar>
              <w:top w:w="100" w:type="dxa"/>
              <w:left w:w="100" w:type="dxa"/>
              <w:bottom w:w="100" w:type="dxa"/>
              <w:right w:w="100" w:type="dxa"/>
            </w:tcMar>
          </w:tcPr>
          <w:p w14:paraId="06B33524"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Realizar maior controle e acompanhamento do orçamento de forma individualizada, por secretarias e/ou por unidades.</w:t>
            </w:r>
          </w:p>
        </w:tc>
        <w:tc>
          <w:tcPr>
            <w:tcW w:w="0" w:type="auto"/>
            <w:shd w:val="clear" w:color="auto" w:fill="auto"/>
            <w:tcMar>
              <w:top w:w="100" w:type="dxa"/>
              <w:left w:w="100" w:type="dxa"/>
              <w:bottom w:w="100" w:type="dxa"/>
              <w:right w:w="100" w:type="dxa"/>
            </w:tcMar>
          </w:tcPr>
          <w:p w14:paraId="240A6A08"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Implementar controles de execução orçamentário por parte das Secretarias Municipais, buscando a melhor alocação dos recursos públicos conforme as necessidades da pasta.</w:t>
            </w:r>
          </w:p>
        </w:tc>
        <w:tc>
          <w:tcPr>
            <w:tcW w:w="0" w:type="auto"/>
            <w:shd w:val="clear" w:color="auto" w:fill="auto"/>
            <w:tcMar>
              <w:top w:w="100" w:type="dxa"/>
              <w:left w:w="100" w:type="dxa"/>
              <w:bottom w:w="100" w:type="dxa"/>
              <w:right w:w="100" w:type="dxa"/>
            </w:tcMar>
          </w:tcPr>
          <w:p w14:paraId="3E9275D3" w14:textId="77777777" w:rsidR="00821527" w:rsidRPr="00F05EF7" w:rsidRDefault="0010504B" w:rsidP="00AD5592">
            <w:pPr>
              <w:widowControl w:val="0"/>
              <w:pBdr>
                <w:top w:val="nil"/>
                <w:left w:val="nil"/>
                <w:bottom w:val="nil"/>
                <w:right w:val="nil"/>
                <w:between w:val="nil"/>
              </w:pBdr>
              <w:jc w:val="center"/>
              <w:rPr>
                <w:rFonts w:ascii="Times New Roman" w:eastAsia="Times New Roman" w:hAnsi="Times New Roman" w:cs="Times New Roman"/>
                <w:sz w:val="20"/>
                <w:szCs w:val="20"/>
              </w:rPr>
            </w:pPr>
            <w:r w:rsidRPr="00F05EF7">
              <w:rPr>
                <w:rFonts w:ascii="Times New Roman" w:eastAsia="Times New Roman" w:hAnsi="Times New Roman" w:cs="Times New Roman"/>
                <w:sz w:val="20"/>
                <w:szCs w:val="20"/>
              </w:rPr>
              <w:t xml:space="preserve">Bruni e Gomes (2010); </w:t>
            </w:r>
            <w:proofErr w:type="spellStart"/>
            <w:r w:rsidRPr="00F05EF7">
              <w:rPr>
                <w:rFonts w:ascii="Times New Roman" w:eastAsia="Times New Roman" w:hAnsi="Times New Roman" w:cs="Times New Roman"/>
                <w:sz w:val="20"/>
                <w:szCs w:val="20"/>
              </w:rPr>
              <w:t>Frezatti</w:t>
            </w:r>
            <w:proofErr w:type="spellEnd"/>
            <w:r w:rsidRPr="00F05EF7">
              <w:rPr>
                <w:rFonts w:ascii="Times New Roman" w:eastAsia="Times New Roman" w:hAnsi="Times New Roman" w:cs="Times New Roman"/>
                <w:sz w:val="20"/>
                <w:szCs w:val="20"/>
              </w:rPr>
              <w:t xml:space="preserve"> (2009); </w:t>
            </w:r>
            <w:proofErr w:type="spellStart"/>
            <w:r w:rsidRPr="00F05EF7">
              <w:rPr>
                <w:rFonts w:ascii="Times New Roman" w:eastAsia="Times New Roman" w:hAnsi="Times New Roman" w:cs="Times New Roman"/>
                <w:sz w:val="20"/>
                <w:szCs w:val="20"/>
              </w:rPr>
              <w:t>Guindani</w:t>
            </w:r>
            <w:proofErr w:type="spellEnd"/>
            <w:r w:rsidRPr="00F05EF7">
              <w:rPr>
                <w:rFonts w:ascii="Times New Roman" w:eastAsia="Times New Roman" w:hAnsi="Times New Roman" w:cs="Times New Roman"/>
                <w:sz w:val="20"/>
                <w:szCs w:val="20"/>
              </w:rPr>
              <w:t xml:space="preserve"> et al (2012); </w:t>
            </w:r>
            <w:proofErr w:type="spellStart"/>
            <w:r w:rsidRPr="00F05EF7">
              <w:rPr>
                <w:rFonts w:ascii="Times New Roman" w:eastAsia="Times New Roman" w:hAnsi="Times New Roman" w:cs="Times New Roman"/>
                <w:sz w:val="20"/>
                <w:szCs w:val="20"/>
              </w:rPr>
              <w:t>Lunkes</w:t>
            </w:r>
            <w:proofErr w:type="spellEnd"/>
            <w:r w:rsidRPr="00F05EF7">
              <w:rPr>
                <w:rFonts w:ascii="Times New Roman" w:eastAsia="Times New Roman" w:hAnsi="Times New Roman" w:cs="Times New Roman"/>
                <w:sz w:val="20"/>
                <w:szCs w:val="20"/>
              </w:rPr>
              <w:t xml:space="preserve"> (2009); </w:t>
            </w:r>
            <w:proofErr w:type="spellStart"/>
            <w:r w:rsidRPr="00F05EF7">
              <w:rPr>
                <w:rFonts w:ascii="Times New Roman" w:eastAsia="Times New Roman" w:hAnsi="Times New Roman" w:cs="Times New Roman"/>
                <w:sz w:val="20"/>
                <w:szCs w:val="20"/>
              </w:rPr>
              <w:t>Padoveze</w:t>
            </w:r>
            <w:proofErr w:type="spellEnd"/>
            <w:r w:rsidRPr="00F05EF7">
              <w:rPr>
                <w:rFonts w:ascii="Times New Roman" w:eastAsia="Times New Roman" w:hAnsi="Times New Roman" w:cs="Times New Roman"/>
                <w:sz w:val="20"/>
                <w:szCs w:val="20"/>
              </w:rPr>
              <w:t xml:space="preserve"> e Taranto (2009); </w:t>
            </w:r>
            <w:proofErr w:type="spellStart"/>
            <w:r w:rsidRPr="00F05EF7">
              <w:rPr>
                <w:rFonts w:ascii="Times New Roman" w:eastAsia="Times New Roman" w:hAnsi="Times New Roman" w:cs="Times New Roman"/>
                <w:sz w:val="20"/>
                <w:szCs w:val="20"/>
              </w:rPr>
              <w:t>Sertek</w:t>
            </w:r>
            <w:proofErr w:type="spellEnd"/>
            <w:r w:rsidRPr="00F05EF7">
              <w:rPr>
                <w:rFonts w:ascii="Times New Roman" w:eastAsia="Times New Roman" w:hAnsi="Times New Roman" w:cs="Times New Roman"/>
                <w:sz w:val="20"/>
                <w:szCs w:val="20"/>
              </w:rPr>
              <w:t xml:space="preserve"> et al (2011); </w:t>
            </w:r>
            <w:proofErr w:type="spellStart"/>
            <w:r w:rsidRPr="00F05EF7">
              <w:rPr>
                <w:rFonts w:ascii="Times New Roman" w:eastAsia="Times New Roman" w:hAnsi="Times New Roman" w:cs="Times New Roman"/>
                <w:sz w:val="20"/>
                <w:szCs w:val="20"/>
              </w:rPr>
              <w:t>Welsch</w:t>
            </w:r>
            <w:proofErr w:type="spellEnd"/>
            <w:r w:rsidRPr="00F05EF7">
              <w:rPr>
                <w:rFonts w:ascii="Times New Roman" w:eastAsia="Times New Roman" w:hAnsi="Times New Roman" w:cs="Times New Roman"/>
                <w:sz w:val="20"/>
                <w:szCs w:val="20"/>
              </w:rPr>
              <w:t xml:space="preserve"> (2015) </w:t>
            </w:r>
          </w:p>
        </w:tc>
      </w:tr>
    </w:tbl>
    <w:p w14:paraId="1D8DA9F1" w14:textId="3A942E1B" w:rsidR="00821527" w:rsidRPr="00930D82" w:rsidRDefault="00930D82" w:rsidP="00AF0520">
      <w:pPr>
        <w:widowControl w:val="0"/>
        <w:pBdr>
          <w:top w:val="nil"/>
          <w:left w:val="nil"/>
          <w:bottom w:val="nil"/>
          <w:right w:val="nil"/>
          <w:between w:val="nil"/>
        </w:pBdr>
        <w:jc w:val="both"/>
        <w:rPr>
          <w:rFonts w:ascii="Times New Roman" w:eastAsia="Times New Roman" w:hAnsi="Times New Roman" w:cs="Times New Roman"/>
          <w:sz w:val="20"/>
          <w:szCs w:val="20"/>
        </w:rPr>
      </w:pPr>
      <w:r w:rsidRPr="00930D82">
        <w:rPr>
          <w:rFonts w:ascii="Times New Roman" w:eastAsia="Times New Roman" w:hAnsi="Times New Roman" w:cs="Times New Roman"/>
          <w:sz w:val="20"/>
          <w:szCs w:val="20"/>
        </w:rPr>
        <w:t xml:space="preserve">Fonte: Elaborado pelos autores </w:t>
      </w:r>
      <w:r w:rsidR="0010504B" w:rsidRPr="00930D82">
        <w:rPr>
          <w:rFonts w:ascii="Times New Roman" w:eastAsia="Times New Roman" w:hAnsi="Times New Roman" w:cs="Times New Roman"/>
          <w:sz w:val="20"/>
          <w:szCs w:val="20"/>
        </w:rPr>
        <w:t>com base na bibliografia indicada</w:t>
      </w:r>
    </w:p>
    <w:p w14:paraId="27AF0B53" w14:textId="77777777" w:rsidR="00930D82" w:rsidRDefault="00930D82" w:rsidP="00AD5592">
      <w:pPr>
        <w:ind w:firstLine="720"/>
        <w:jc w:val="both"/>
        <w:rPr>
          <w:rFonts w:ascii="Times New Roman" w:eastAsia="Times New Roman" w:hAnsi="Times New Roman" w:cs="Times New Roman"/>
        </w:rPr>
      </w:pPr>
    </w:p>
    <w:p w14:paraId="2077668C" w14:textId="61B995A7" w:rsidR="00821527" w:rsidRPr="00F05EF7" w:rsidRDefault="0010504B" w:rsidP="00AD5592">
      <w:pPr>
        <w:ind w:firstLine="720"/>
        <w:jc w:val="both"/>
        <w:rPr>
          <w:rFonts w:ascii="Times New Roman" w:eastAsia="Times New Roman" w:hAnsi="Times New Roman" w:cs="Times New Roman"/>
        </w:rPr>
      </w:pPr>
      <w:r w:rsidRPr="00F05EF7">
        <w:rPr>
          <w:rFonts w:ascii="Times New Roman" w:eastAsia="Times New Roman" w:hAnsi="Times New Roman" w:cs="Times New Roman"/>
        </w:rPr>
        <w:t xml:space="preserve">A partir da implementação das ações elencadas </w:t>
      </w:r>
      <w:r w:rsidR="005215F1">
        <w:rPr>
          <w:rFonts w:ascii="Times New Roman" w:eastAsia="Times New Roman" w:hAnsi="Times New Roman" w:cs="Times New Roman"/>
        </w:rPr>
        <w:t>acima</w:t>
      </w:r>
      <w:r w:rsidRPr="00F05EF7">
        <w:rPr>
          <w:rFonts w:ascii="Times New Roman" w:eastAsia="Times New Roman" w:hAnsi="Times New Roman" w:cs="Times New Roman"/>
        </w:rPr>
        <w:t xml:space="preserve"> espera-se que grande parte das imprecisões nos planejamentos orçamentários observadas sejam </w:t>
      </w:r>
      <w:r w:rsidR="005215F1">
        <w:rPr>
          <w:rFonts w:ascii="Times New Roman" w:eastAsia="Times New Roman" w:hAnsi="Times New Roman" w:cs="Times New Roman"/>
        </w:rPr>
        <w:t>eliminadas</w:t>
      </w:r>
      <w:r w:rsidRPr="00F05EF7">
        <w:rPr>
          <w:rFonts w:ascii="Times New Roman" w:eastAsia="Times New Roman" w:hAnsi="Times New Roman" w:cs="Times New Roman"/>
        </w:rPr>
        <w:t xml:space="preserve"> e os percentuais de imprecisão sejam drasticamente reduzidos. Tais ações são necessárias, uma vez que restou demonstrado, no estudo, que o desempenho orçamentário dos municípios está </w:t>
      </w:r>
      <w:r w:rsidR="00771FEF" w:rsidRPr="00F05EF7">
        <w:rPr>
          <w:rFonts w:ascii="Times New Roman" w:eastAsia="Times New Roman" w:hAnsi="Times New Roman" w:cs="Times New Roman"/>
        </w:rPr>
        <w:t xml:space="preserve">muito </w:t>
      </w:r>
      <w:r w:rsidRPr="00F05EF7">
        <w:rPr>
          <w:rFonts w:ascii="Times New Roman" w:eastAsia="Times New Roman" w:hAnsi="Times New Roman" w:cs="Times New Roman"/>
        </w:rPr>
        <w:t>aquém do considerado bom ou ideal.</w:t>
      </w:r>
    </w:p>
    <w:p w14:paraId="368FC5E3" w14:textId="015238F6" w:rsidR="00821527" w:rsidRDefault="005215F1" w:rsidP="00AD5592">
      <w:pPr>
        <w:ind w:firstLine="720"/>
        <w:jc w:val="both"/>
        <w:rPr>
          <w:rFonts w:ascii="Times New Roman" w:eastAsia="Times New Roman" w:hAnsi="Times New Roman" w:cs="Times New Roman"/>
        </w:rPr>
      </w:pPr>
      <w:bookmarkStart w:id="15" w:name="_qsh70q" w:colFirst="0" w:colLast="0"/>
      <w:bookmarkEnd w:id="15"/>
      <w:r>
        <w:rPr>
          <w:rFonts w:ascii="Times New Roman" w:eastAsia="Times New Roman" w:hAnsi="Times New Roman" w:cs="Times New Roman"/>
        </w:rPr>
        <w:t xml:space="preserve">Por fim, faz-se mister salientar que para que </w:t>
      </w:r>
      <w:r w:rsidR="0010504B" w:rsidRPr="00F05EF7">
        <w:rPr>
          <w:rFonts w:ascii="Times New Roman" w:eastAsia="Times New Roman" w:hAnsi="Times New Roman" w:cs="Times New Roman"/>
        </w:rPr>
        <w:t xml:space="preserve">o orçamento público possa cumprir seu real papel e refletir os programas e ações de governo ele deve ser o mais preciso possível, de modo a dar confiabilidade à tomada de decisões e se adequar à nova governança pública. Assim, o planejamento orçamentário não parece </w:t>
      </w:r>
      <w:r w:rsidR="00771FEF" w:rsidRPr="00F05EF7">
        <w:rPr>
          <w:rFonts w:ascii="Times New Roman" w:eastAsia="Times New Roman" w:hAnsi="Times New Roman" w:cs="Times New Roman"/>
        </w:rPr>
        <w:t xml:space="preserve">ter </w:t>
      </w:r>
      <w:r w:rsidR="0010504B" w:rsidRPr="00F05EF7">
        <w:rPr>
          <w:rFonts w:ascii="Times New Roman" w:eastAsia="Times New Roman" w:hAnsi="Times New Roman" w:cs="Times New Roman"/>
        </w:rPr>
        <w:t>a atenção e importância que lhe é devida</w:t>
      </w:r>
      <w:r w:rsidR="00771FEF" w:rsidRPr="00F05EF7">
        <w:rPr>
          <w:rFonts w:ascii="Times New Roman" w:eastAsia="Times New Roman" w:hAnsi="Times New Roman" w:cs="Times New Roman"/>
        </w:rPr>
        <w:t xml:space="preserve"> por parte dos municípios</w:t>
      </w:r>
      <w:r w:rsidR="0010504B" w:rsidRPr="00F05EF7">
        <w:rPr>
          <w:rFonts w:ascii="Times New Roman" w:eastAsia="Times New Roman" w:hAnsi="Times New Roman" w:cs="Times New Roman"/>
        </w:rPr>
        <w:t>, dados os altos índices de</w:t>
      </w:r>
      <w:r w:rsidR="00771FEF" w:rsidRPr="00F05EF7">
        <w:rPr>
          <w:rFonts w:ascii="Times New Roman" w:eastAsia="Times New Roman" w:hAnsi="Times New Roman" w:cs="Times New Roman"/>
        </w:rPr>
        <w:t xml:space="preserve"> imprecisão verificados</w:t>
      </w:r>
      <w:r w:rsidR="0010504B" w:rsidRPr="00F05EF7">
        <w:rPr>
          <w:rFonts w:ascii="Times New Roman" w:eastAsia="Times New Roman" w:hAnsi="Times New Roman" w:cs="Times New Roman"/>
        </w:rPr>
        <w:t>.</w:t>
      </w:r>
      <w:bookmarkStart w:id="16" w:name="_49x2ik5" w:colFirst="0" w:colLast="0"/>
      <w:bookmarkEnd w:id="16"/>
    </w:p>
    <w:p w14:paraId="4A5FE59F" w14:textId="77777777" w:rsidR="00930D82" w:rsidRPr="00F05EF7" w:rsidRDefault="00930D82" w:rsidP="00AD5592">
      <w:pPr>
        <w:ind w:firstLine="720"/>
        <w:jc w:val="both"/>
        <w:rPr>
          <w:rFonts w:ascii="Times New Roman" w:eastAsia="Times New Roman" w:hAnsi="Times New Roman" w:cs="Times New Roman"/>
        </w:rPr>
      </w:pPr>
    </w:p>
    <w:p w14:paraId="44A75D8C" w14:textId="42B19D7B" w:rsidR="00821527" w:rsidRDefault="00930D82" w:rsidP="00AF0520">
      <w:pPr>
        <w:pStyle w:val="Ttulo1"/>
        <w:ind w:firstLine="709"/>
        <w:rPr>
          <w:rFonts w:ascii="Times New Roman" w:eastAsia="Times New Roman" w:hAnsi="Times New Roman" w:cs="Times New Roman"/>
        </w:rPr>
      </w:pPr>
      <w:bookmarkStart w:id="17" w:name="_Toc17376033"/>
      <w:r>
        <w:rPr>
          <w:rFonts w:ascii="Times New Roman" w:eastAsia="Times New Roman" w:hAnsi="Times New Roman" w:cs="Times New Roman"/>
        </w:rPr>
        <w:t>5</w:t>
      </w:r>
      <w:r w:rsidR="0010504B" w:rsidRPr="00F05EF7">
        <w:rPr>
          <w:rFonts w:ascii="Times New Roman" w:eastAsia="Times New Roman" w:hAnsi="Times New Roman" w:cs="Times New Roman"/>
        </w:rPr>
        <w:t xml:space="preserve"> CONSIDERAÇÕES FINAIS</w:t>
      </w:r>
      <w:bookmarkEnd w:id="17"/>
    </w:p>
    <w:p w14:paraId="32F34B01" w14:textId="77777777" w:rsidR="00930D82" w:rsidRPr="00930D82" w:rsidRDefault="00930D82" w:rsidP="00AD5592"/>
    <w:p w14:paraId="54797F07" w14:textId="3FE53581" w:rsidR="00D67E12" w:rsidRPr="00F05EF7" w:rsidRDefault="00D67E12" w:rsidP="00AD5592">
      <w:pPr>
        <w:ind w:firstLine="720"/>
        <w:jc w:val="both"/>
        <w:rPr>
          <w:rFonts w:ascii="Times New Roman" w:eastAsia="Times New Roman" w:hAnsi="Times New Roman" w:cs="Times New Roman"/>
        </w:rPr>
      </w:pPr>
      <w:bookmarkStart w:id="18" w:name="_3as4poj" w:colFirst="0" w:colLast="0"/>
      <w:bookmarkEnd w:id="18"/>
      <w:r w:rsidRPr="00F05EF7">
        <w:rPr>
          <w:rFonts w:ascii="Times New Roman" w:eastAsia="Times New Roman" w:hAnsi="Times New Roman" w:cs="Times New Roman"/>
        </w:rPr>
        <w:t xml:space="preserve">A imprecisão nos planejamentos orçamentários é </w:t>
      </w:r>
      <w:r w:rsidR="008A69E4" w:rsidRPr="00F05EF7">
        <w:rPr>
          <w:rFonts w:ascii="Times New Roman" w:eastAsia="Times New Roman" w:hAnsi="Times New Roman" w:cs="Times New Roman"/>
        </w:rPr>
        <w:t xml:space="preserve">uma </w:t>
      </w:r>
      <w:r w:rsidR="0042528C" w:rsidRPr="00F05EF7">
        <w:rPr>
          <w:rFonts w:ascii="Times New Roman" w:eastAsia="Times New Roman" w:hAnsi="Times New Roman" w:cs="Times New Roman"/>
        </w:rPr>
        <w:t xml:space="preserve">problemática </w:t>
      </w:r>
      <w:r w:rsidRPr="00F05EF7">
        <w:rPr>
          <w:rFonts w:ascii="Times New Roman" w:eastAsia="Times New Roman" w:hAnsi="Times New Roman" w:cs="Times New Roman"/>
        </w:rPr>
        <w:t xml:space="preserve">de grande relevância no âmbito do setor público, </w:t>
      </w:r>
      <w:r w:rsidR="0042528C" w:rsidRPr="00F05EF7">
        <w:rPr>
          <w:rFonts w:ascii="Times New Roman" w:eastAsia="Times New Roman" w:hAnsi="Times New Roman" w:cs="Times New Roman"/>
        </w:rPr>
        <w:t>já que</w:t>
      </w:r>
      <w:r w:rsidRPr="00F05EF7">
        <w:rPr>
          <w:rFonts w:ascii="Times New Roman" w:eastAsia="Times New Roman" w:hAnsi="Times New Roman" w:cs="Times New Roman"/>
        </w:rPr>
        <w:t xml:space="preserve"> o orçamento público </w:t>
      </w:r>
      <w:r w:rsidR="008A69E4" w:rsidRPr="00F05EF7">
        <w:rPr>
          <w:rFonts w:ascii="Times New Roman" w:eastAsia="Times New Roman" w:hAnsi="Times New Roman" w:cs="Times New Roman"/>
        </w:rPr>
        <w:t>deve ser compreendido como uma ferramenta de planejamento e implementação de políticas públicas</w:t>
      </w:r>
      <w:r w:rsidR="0042528C" w:rsidRPr="00F05EF7">
        <w:rPr>
          <w:rFonts w:ascii="Times New Roman" w:eastAsia="Times New Roman" w:hAnsi="Times New Roman" w:cs="Times New Roman"/>
        </w:rPr>
        <w:t>,</w:t>
      </w:r>
      <w:r w:rsidR="008A69E4" w:rsidRPr="00F05EF7">
        <w:rPr>
          <w:rFonts w:ascii="Times New Roman" w:eastAsia="Times New Roman" w:hAnsi="Times New Roman" w:cs="Times New Roman"/>
        </w:rPr>
        <w:t xml:space="preserve"> essenciais à</w:t>
      </w:r>
      <w:r w:rsidR="00E366E0" w:rsidRPr="00F05EF7">
        <w:rPr>
          <w:rFonts w:ascii="Times New Roman" w:eastAsia="Times New Roman" w:hAnsi="Times New Roman" w:cs="Times New Roman"/>
        </w:rPr>
        <w:t>s demandas da</w:t>
      </w:r>
      <w:r w:rsidR="008A69E4" w:rsidRPr="00F05EF7">
        <w:rPr>
          <w:rFonts w:ascii="Times New Roman" w:eastAsia="Times New Roman" w:hAnsi="Times New Roman" w:cs="Times New Roman"/>
        </w:rPr>
        <w:t xml:space="preserve"> sociedade</w:t>
      </w:r>
      <w:r w:rsidR="00E366E0" w:rsidRPr="00F05EF7">
        <w:rPr>
          <w:rFonts w:ascii="Times New Roman" w:eastAsia="Times New Roman" w:hAnsi="Times New Roman" w:cs="Times New Roman"/>
        </w:rPr>
        <w:t>,</w:t>
      </w:r>
      <w:r w:rsidR="008A69E4" w:rsidRPr="00F05EF7">
        <w:rPr>
          <w:rFonts w:ascii="Times New Roman" w:eastAsia="Times New Roman" w:hAnsi="Times New Roman" w:cs="Times New Roman"/>
        </w:rPr>
        <w:t xml:space="preserve"> </w:t>
      </w:r>
      <w:r w:rsidR="0042528C" w:rsidRPr="00F05EF7">
        <w:rPr>
          <w:rFonts w:ascii="Times New Roman" w:eastAsia="Times New Roman" w:hAnsi="Times New Roman" w:cs="Times New Roman"/>
        </w:rPr>
        <w:t xml:space="preserve">e </w:t>
      </w:r>
      <w:r w:rsidR="008A69E4" w:rsidRPr="00F05EF7">
        <w:rPr>
          <w:rFonts w:ascii="Times New Roman" w:eastAsia="Times New Roman" w:hAnsi="Times New Roman" w:cs="Times New Roman"/>
        </w:rPr>
        <w:t>não</w:t>
      </w:r>
      <w:r w:rsidR="00E366E0" w:rsidRPr="00F05EF7">
        <w:rPr>
          <w:rFonts w:ascii="Times New Roman" w:eastAsia="Times New Roman" w:hAnsi="Times New Roman" w:cs="Times New Roman"/>
        </w:rPr>
        <w:t xml:space="preserve"> como</w:t>
      </w:r>
      <w:r w:rsidR="008A69E4" w:rsidRPr="00F05EF7">
        <w:rPr>
          <w:rFonts w:ascii="Times New Roman" w:eastAsia="Times New Roman" w:hAnsi="Times New Roman" w:cs="Times New Roman"/>
        </w:rPr>
        <w:t xml:space="preserve"> uma peça meramente contábil</w:t>
      </w:r>
      <w:r w:rsidR="0042528C" w:rsidRPr="00F05EF7">
        <w:rPr>
          <w:rFonts w:ascii="Times New Roman" w:eastAsia="Times New Roman" w:hAnsi="Times New Roman" w:cs="Times New Roman"/>
        </w:rPr>
        <w:t>, jurídica ou formal</w:t>
      </w:r>
      <w:r w:rsidR="008A69E4" w:rsidRPr="00F05EF7">
        <w:rPr>
          <w:rFonts w:ascii="Times New Roman" w:eastAsia="Times New Roman" w:hAnsi="Times New Roman" w:cs="Times New Roman"/>
        </w:rPr>
        <w:t xml:space="preserve">. Por esta razão, o estudo teve como objetivo </w:t>
      </w:r>
      <w:r w:rsidR="00E366E0" w:rsidRPr="00F05EF7">
        <w:rPr>
          <w:rFonts w:ascii="Times New Roman" w:eastAsia="Times New Roman" w:hAnsi="Times New Roman" w:cs="Times New Roman"/>
        </w:rPr>
        <w:t>verificar</w:t>
      </w:r>
      <w:r w:rsidR="008A69E4" w:rsidRPr="00F05EF7">
        <w:rPr>
          <w:rFonts w:ascii="Times New Roman" w:eastAsia="Times New Roman" w:hAnsi="Times New Roman" w:cs="Times New Roman"/>
        </w:rPr>
        <w:t xml:space="preserve"> se </w:t>
      </w:r>
      <w:r w:rsidR="00E366E0" w:rsidRPr="00F05EF7">
        <w:rPr>
          <w:rFonts w:ascii="Times New Roman" w:eastAsia="Times New Roman" w:hAnsi="Times New Roman" w:cs="Times New Roman"/>
        </w:rPr>
        <w:t>há (</w:t>
      </w:r>
      <w:proofErr w:type="spellStart"/>
      <w:r w:rsidR="00E366E0" w:rsidRPr="00F05EF7">
        <w:rPr>
          <w:rFonts w:ascii="Times New Roman" w:eastAsia="Times New Roman" w:hAnsi="Times New Roman" w:cs="Times New Roman"/>
        </w:rPr>
        <w:t>im</w:t>
      </w:r>
      <w:proofErr w:type="spellEnd"/>
      <w:r w:rsidR="00E366E0" w:rsidRPr="00F05EF7">
        <w:rPr>
          <w:rFonts w:ascii="Times New Roman" w:eastAsia="Times New Roman" w:hAnsi="Times New Roman" w:cs="Times New Roman"/>
        </w:rPr>
        <w:t>)precisão nos planejamentos orçamentários dos</w:t>
      </w:r>
      <w:r w:rsidR="008A69E4" w:rsidRPr="00F05EF7">
        <w:rPr>
          <w:rFonts w:ascii="Times New Roman" w:eastAsia="Times New Roman" w:hAnsi="Times New Roman" w:cs="Times New Roman"/>
        </w:rPr>
        <w:t xml:space="preserve"> municípios da microrregião de Restinga </w:t>
      </w:r>
      <w:proofErr w:type="spellStart"/>
      <w:r w:rsidR="008A69E4" w:rsidRPr="00F05EF7">
        <w:rPr>
          <w:rFonts w:ascii="Times New Roman" w:eastAsia="Times New Roman" w:hAnsi="Times New Roman" w:cs="Times New Roman"/>
        </w:rPr>
        <w:t>Sêca</w:t>
      </w:r>
      <w:proofErr w:type="spellEnd"/>
      <w:r w:rsidR="00E366E0" w:rsidRPr="00F05EF7">
        <w:rPr>
          <w:rFonts w:ascii="Times New Roman" w:eastAsia="Times New Roman" w:hAnsi="Times New Roman" w:cs="Times New Roman"/>
        </w:rPr>
        <w:t xml:space="preserve"> e sua consequente (in)eficiência</w:t>
      </w:r>
      <w:r w:rsidR="0042528C" w:rsidRPr="00F05EF7">
        <w:rPr>
          <w:rFonts w:ascii="Times New Roman" w:eastAsia="Times New Roman" w:hAnsi="Times New Roman" w:cs="Times New Roman"/>
        </w:rPr>
        <w:t>,</w:t>
      </w:r>
      <w:r w:rsidR="008A69E4" w:rsidRPr="00F05EF7">
        <w:rPr>
          <w:rFonts w:ascii="Times New Roman" w:eastAsia="Times New Roman" w:hAnsi="Times New Roman" w:cs="Times New Roman"/>
        </w:rPr>
        <w:t xml:space="preserve"> a partir da análise </w:t>
      </w:r>
      <w:r w:rsidR="00E366E0" w:rsidRPr="00F05EF7">
        <w:rPr>
          <w:rFonts w:ascii="Times New Roman" w:eastAsia="Times New Roman" w:hAnsi="Times New Roman" w:cs="Times New Roman"/>
        </w:rPr>
        <w:t>dos</w:t>
      </w:r>
      <w:r w:rsidR="008A69E4" w:rsidRPr="00F05EF7">
        <w:rPr>
          <w:rFonts w:ascii="Times New Roman" w:eastAsia="Times New Roman" w:hAnsi="Times New Roman" w:cs="Times New Roman"/>
        </w:rPr>
        <w:t xml:space="preserve"> créditos adicionais por eles</w:t>
      </w:r>
      <w:r w:rsidR="00E366E0" w:rsidRPr="00F05EF7">
        <w:rPr>
          <w:rFonts w:ascii="Times New Roman" w:eastAsia="Times New Roman" w:hAnsi="Times New Roman" w:cs="Times New Roman"/>
        </w:rPr>
        <w:t xml:space="preserve"> utilizados</w:t>
      </w:r>
      <w:r w:rsidR="008A69E4" w:rsidRPr="00F05EF7">
        <w:rPr>
          <w:rFonts w:ascii="Times New Roman" w:eastAsia="Times New Roman" w:hAnsi="Times New Roman" w:cs="Times New Roman"/>
        </w:rPr>
        <w:t>.</w:t>
      </w:r>
    </w:p>
    <w:p w14:paraId="540B1811" w14:textId="2B8A7524" w:rsidR="000B6F38" w:rsidRPr="00F05EF7" w:rsidRDefault="000B6F38" w:rsidP="00AD5592">
      <w:pPr>
        <w:jc w:val="both"/>
        <w:rPr>
          <w:rFonts w:ascii="Times New Roman" w:eastAsia="Times New Roman" w:hAnsi="Times New Roman" w:cs="Times New Roman"/>
        </w:rPr>
      </w:pPr>
      <w:r w:rsidRPr="00F05EF7">
        <w:rPr>
          <w:rFonts w:ascii="Times New Roman" w:eastAsia="Times New Roman" w:hAnsi="Times New Roman" w:cs="Times New Roman"/>
        </w:rPr>
        <w:tab/>
        <w:t xml:space="preserve">Inicialmente, vale lembrar que o orçamento público pode ser analisado sob diferentes </w:t>
      </w:r>
      <w:r w:rsidR="004A77A6" w:rsidRPr="00F05EF7">
        <w:rPr>
          <w:rFonts w:ascii="Times New Roman" w:eastAsia="Times New Roman" w:hAnsi="Times New Roman" w:cs="Times New Roman"/>
        </w:rPr>
        <w:t>óticas</w:t>
      </w:r>
      <w:r w:rsidRPr="00F05EF7">
        <w:rPr>
          <w:rFonts w:ascii="Times New Roman" w:eastAsia="Times New Roman" w:hAnsi="Times New Roman" w:cs="Times New Roman"/>
        </w:rPr>
        <w:t xml:space="preserve">, dada sua multiplicidade de aspectos. Nesta pesquisa os níveis de imprecisão nos planejamentos orçamentários foram avaliados a partir da utilização de créditos adicionais, já que tal análise permitiu a apuração dos montantes realocados dentro da peça orçamentária e </w:t>
      </w:r>
      <w:r w:rsidR="00E366E0" w:rsidRPr="00F05EF7">
        <w:rPr>
          <w:rFonts w:ascii="Times New Roman" w:eastAsia="Times New Roman" w:hAnsi="Times New Roman" w:cs="Times New Roman"/>
        </w:rPr>
        <w:t>seus</w:t>
      </w:r>
      <w:r w:rsidRPr="00F05EF7">
        <w:rPr>
          <w:rFonts w:ascii="Times New Roman" w:eastAsia="Times New Roman" w:hAnsi="Times New Roman" w:cs="Times New Roman"/>
        </w:rPr>
        <w:t xml:space="preserve"> respectivos percentuais de representatividade.</w:t>
      </w:r>
    </w:p>
    <w:p w14:paraId="48A72CED" w14:textId="3D258FCE" w:rsidR="008A69E4" w:rsidRPr="00F05EF7" w:rsidRDefault="008A69E4" w:rsidP="00AD5592">
      <w:pPr>
        <w:jc w:val="both"/>
        <w:rPr>
          <w:rFonts w:ascii="Times New Roman" w:eastAsia="Times New Roman" w:hAnsi="Times New Roman" w:cs="Times New Roman"/>
        </w:rPr>
      </w:pPr>
      <w:r w:rsidRPr="00F05EF7">
        <w:rPr>
          <w:rFonts w:ascii="Times New Roman" w:eastAsia="Times New Roman" w:hAnsi="Times New Roman" w:cs="Times New Roman"/>
        </w:rPr>
        <w:tab/>
        <w:t xml:space="preserve">Os resultados encontrados no estudo apontam que os municípios da microrregião de Restinga </w:t>
      </w:r>
      <w:proofErr w:type="spellStart"/>
      <w:r w:rsidRPr="00F05EF7">
        <w:rPr>
          <w:rFonts w:ascii="Times New Roman" w:eastAsia="Times New Roman" w:hAnsi="Times New Roman" w:cs="Times New Roman"/>
        </w:rPr>
        <w:t>Sêca</w:t>
      </w:r>
      <w:proofErr w:type="spellEnd"/>
      <w:r w:rsidRPr="00F05EF7">
        <w:rPr>
          <w:rFonts w:ascii="Times New Roman" w:eastAsia="Times New Roman" w:hAnsi="Times New Roman" w:cs="Times New Roman"/>
        </w:rPr>
        <w:t xml:space="preserve"> não</w:t>
      </w:r>
      <w:r w:rsidR="00E62728" w:rsidRPr="00F05EF7">
        <w:rPr>
          <w:rFonts w:ascii="Times New Roman" w:eastAsia="Times New Roman" w:hAnsi="Times New Roman" w:cs="Times New Roman"/>
        </w:rPr>
        <w:t xml:space="preserve"> </w:t>
      </w:r>
      <w:r w:rsidR="00E84D3A" w:rsidRPr="00F05EF7">
        <w:rPr>
          <w:rFonts w:ascii="Times New Roman" w:eastAsia="Times New Roman" w:hAnsi="Times New Roman" w:cs="Times New Roman"/>
        </w:rPr>
        <w:t xml:space="preserve">têm </w:t>
      </w:r>
      <w:r w:rsidR="00E62728" w:rsidRPr="00F05EF7">
        <w:rPr>
          <w:rFonts w:ascii="Times New Roman" w:eastAsia="Times New Roman" w:hAnsi="Times New Roman" w:cs="Times New Roman"/>
        </w:rPr>
        <w:t xml:space="preserve">utilizado </w:t>
      </w:r>
      <w:r w:rsidRPr="00F05EF7">
        <w:rPr>
          <w:rFonts w:ascii="Times New Roman" w:eastAsia="Times New Roman" w:hAnsi="Times New Roman" w:cs="Times New Roman"/>
        </w:rPr>
        <w:t>o orçamento público como um instrumento de programação e planejamento. Tal situação é corroborada pelo desempenho observado nos diferentes municípios estudados, já que necessitaram realocar</w:t>
      </w:r>
      <w:r w:rsidR="005215F1">
        <w:rPr>
          <w:rFonts w:ascii="Times New Roman" w:eastAsia="Times New Roman" w:hAnsi="Times New Roman" w:cs="Times New Roman"/>
        </w:rPr>
        <w:t xml:space="preserve">, em média, </w:t>
      </w:r>
      <w:r w:rsidRPr="00F05EF7">
        <w:rPr>
          <w:rFonts w:ascii="Times New Roman" w:eastAsia="Times New Roman" w:hAnsi="Times New Roman" w:cs="Times New Roman"/>
        </w:rPr>
        <w:t xml:space="preserve">no mínimo 16,21% </w:t>
      </w:r>
      <w:r w:rsidR="00515126" w:rsidRPr="00F05EF7">
        <w:rPr>
          <w:rFonts w:ascii="Times New Roman" w:eastAsia="Times New Roman" w:hAnsi="Times New Roman" w:cs="Times New Roman"/>
        </w:rPr>
        <w:t xml:space="preserve">dos </w:t>
      </w:r>
      <w:r w:rsidR="00E366E0" w:rsidRPr="00F05EF7">
        <w:rPr>
          <w:rFonts w:ascii="Times New Roman" w:eastAsia="Times New Roman" w:hAnsi="Times New Roman" w:cs="Times New Roman"/>
        </w:rPr>
        <w:t>recursos inicialmente orçados</w:t>
      </w:r>
      <w:r w:rsidRPr="00F05EF7">
        <w:rPr>
          <w:rFonts w:ascii="Times New Roman" w:eastAsia="Times New Roman" w:hAnsi="Times New Roman" w:cs="Times New Roman"/>
        </w:rPr>
        <w:t xml:space="preserve">, </w:t>
      </w:r>
      <w:r w:rsidR="00515126" w:rsidRPr="00F05EF7">
        <w:rPr>
          <w:rFonts w:ascii="Times New Roman" w:eastAsia="Times New Roman" w:hAnsi="Times New Roman" w:cs="Times New Roman"/>
        </w:rPr>
        <w:t xml:space="preserve">chegando </w:t>
      </w:r>
      <w:r w:rsidRPr="00F05EF7">
        <w:rPr>
          <w:rFonts w:ascii="Times New Roman" w:eastAsia="Times New Roman" w:hAnsi="Times New Roman" w:cs="Times New Roman"/>
        </w:rPr>
        <w:t>a um</w:t>
      </w:r>
      <w:r w:rsidR="005215F1">
        <w:rPr>
          <w:rFonts w:ascii="Times New Roman" w:eastAsia="Times New Roman" w:hAnsi="Times New Roman" w:cs="Times New Roman"/>
        </w:rPr>
        <w:t>a média máxima</w:t>
      </w:r>
      <w:r w:rsidRPr="00F05EF7">
        <w:rPr>
          <w:rFonts w:ascii="Times New Roman" w:eastAsia="Times New Roman" w:hAnsi="Times New Roman" w:cs="Times New Roman"/>
        </w:rPr>
        <w:t xml:space="preserve"> de</w:t>
      </w:r>
      <w:r w:rsidR="00E366E0" w:rsidRPr="00F05EF7">
        <w:rPr>
          <w:rFonts w:ascii="Times New Roman" w:eastAsia="Times New Roman" w:hAnsi="Times New Roman" w:cs="Times New Roman"/>
        </w:rPr>
        <w:t xml:space="preserve"> 57,07%.</w:t>
      </w:r>
    </w:p>
    <w:p w14:paraId="50735763" w14:textId="2D001CC0" w:rsidR="00E62728" w:rsidRPr="006026C8" w:rsidRDefault="00E62728" w:rsidP="00AD5592">
      <w:pPr>
        <w:jc w:val="both"/>
        <w:rPr>
          <w:rFonts w:ascii="Times New Roman" w:eastAsia="Times New Roman" w:hAnsi="Times New Roman" w:cs="Times New Roman"/>
        </w:rPr>
      </w:pPr>
      <w:r w:rsidRPr="00F05EF7">
        <w:rPr>
          <w:rFonts w:ascii="Times New Roman" w:eastAsia="Times New Roman" w:hAnsi="Times New Roman" w:cs="Times New Roman"/>
        </w:rPr>
        <w:lastRenderedPageBreak/>
        <w:tab/>
        <w:t xml:space="preserve">É impossível afirmar que um planejamento orçamentário que </w:t>
      </w:r>
      <w:r w:rsidR="00BA7D76" w:rsidRPr="006026C8">
        <w:rPr>
          <w:rFonts w:ascii="Times New Roman" w:eastAsia="Times New Roman" w:hAnsi="Times New Roman" w:cs="Times New Roman"/>
        </w:rPr>
        <w:t>tem</w:t>
      </w:r>
      <w:r w:rsidRPr="006026C8">
        <w:rPr>
          <w:rFonts w:ascii="Times New Roman" w:eastAsia="Times New Roman" w:hAnsi="Times New Roman" w:cs="Times New Roman"/>
        </w:rPr>
        <w:t xml:space="preserve"> </w:t>
      </w:r>
      <w:r w:rsidR="00E53B9F" w:rsidRPr="006026C8">
        <w:rPr>
          <w:rFonts w:ascii="Times New Roman" w:eastAsia="Times New Roman" w:hAnsi="Times New Roman" w:cs="Times New Roman"/>
        </w:rPr>
        <w:t xml:space="preserve">a </w:t>
      </w:r>
      <w:r w:rsidRPr="006026C8">
        <w:rPr>
          <w:rFonts w:ascii="Times New Roman" w:eastAsia="Times New Roman" w:hAnsi="Times New Roman" w:cs="Times New Roman"/>
        </w:rPr>
        <w:t xml:space="preserve">sua programação inicial alterada nesses patamares </w:t>
      </w:r>
      <w:r w:rsidR="00BA7D76" w:rsidRPr="006026C8">
        <w:rPr>
          <w:rFonts w:ascii="Times New Roman" w:eastAsia="Times New Roman" w:hAnsi="Times New Roman" w:cs="Times New Roman"/>
        </w:rPr>
        <w:t xml:space="preserve">seja considerado bom, </w:t>
      </w:r>
      <w:r w:rsidRPr="006026C8">
        <w:rPr>
          <w:rFonts w:ascii="Times New Roman" w:eastAsia="Times New Roman" w:hAnsi="Times New Roman" w:cs="Times New Roman"/>
        </w:rPr>
        <w:t xml:space="preserve">sem que isto represente prejuízos, sejam eles no </w:t>
      </w:r>
      <w:r w:rsidR="00930D82" w:rsidRPr="006026C8">
        <w:rPr>
          <w:rFonts w:ascii="Times New Roman" w:eastAsia="Times New Roman" w:hAnsi="Times New Roman" w:cs="Times New Roman"/>
        </w:rPr>
        <w:t xml:space="preserve">âmbito interno quanto externo. </w:t>
      </w:r>
      <w:r w:rsidR="008A69E4" w:rsidRPr="006026C8">
        <w:rPr>
          <w:rFonts w:ascii="Times New Roman" w:eastAsia="Times New Roman" w:hAnsi="Times New Roman" w:cs="Times New Roman"/>
        </w:rPr>
        <w:t>Além disso, o estudo sugere que tais práticas não ocorrem de forma isolada, ou seja, não é algo eventual ou esporádico, na medida em que essas práticas se repetem ano a</w:t>
      </w:r>
      <w:r w:rsidRPr="006026C8">
        <w:rPr>
          <w:rFonts w:ascii="Times New Roman" w:eastAsia="Times New Roman" w:hAnsi="Times New Roman" w:cs="Times New Roman"/>
        </w:rPr>
        <w:t>pós ano.</w:t>
      </w:r>
    </w:p>
    <w:p w14:paraId="73EC6241" w14:textId="7144A4C8" w:rsidR="008A69E4" w:rsidRPr="006026C8" w:rsidRDefault="008A69E4" w:rsidP="00AD5592">
      <w:pPr>
        <w:ind w:firstLine="720"/>
        <w:jc w:val="both"/>
        <w:rPr>
          <w:rFonts w:ascii="Times New Roman" w:eastAsia="Times New Roman" w:hAnsi="Times New Roman" w:cs="Times New Roman"/>
        </w:rPr>
      </w:pPr>
      <w:r w:rsidRPr="006026C8">
        <w:rPr>
          <w:rFonts w:ascii="Times New Roman" w:eastAsia="Times New Roman" w:hAnsi="Times New Roman" w:cs="Times New Roman"/>
        </w:rPr>
        <w:t xml:space="preserve">Logo, parece haver uma cultura orçamentária institucionalizada nestes municípios, que </w:t>
      </w:r>
      <w:r w:rsidR="009A2523" w:rsidRPr="006026C8">
        <w:rPr>
          <w:rFonts w:ascii="Times New Roman" w:eastAsia="Times New Roman" w:hAnsi="Times New Roman" w:cs="Times New Roman"/>
        </w:rPr>
        <w:t>desconsidera</w:t>
      </w:r>
      <w:r w:rsidRPr="006026C8">
        <w:rPr>
          <w:rFonts w:ascii="Times New Roman" w:eastAsia="Times New Roman" w:hAnsi="Times New Roman" w:cs="Times New Roman"/>
        </w:rPr>
        <w:t xml:space="preserve"> a real função do orçamento, já que utilizam os créditos adicionais de forma desenfreada, para fazer frente às</w:t>
      </w:r>
      <w:r w:rsidR="00204E63" w:rsidRPr="006026C8">
        <w:rPr>
          <w:rFonts w:ascii="Times New Roman" w:eastAsia="Times New Roman" w:hAnsi="Times New Roman" w:cs="Times New Roman"/>
        </w:rPr>
        <w:t xml:space="preserve"> vult</w:t>
      </w:r>
      <w:r w:rsidRPr="006026C8">
        <w:rPr>
          <w:rFonts w:ascii="Times New Roman" w:eastAsia="Times New Roman" w:hAnsi="Times New Roman" w:cs="Times New Roman"/>
        </w:rPr>
        <w:t>osas incorreções</w:t>
      </w:r>
      <w:r w:rsidR="00204E63" w:rsidRPr="006026C8">
        <w:rPr>
          <w:rFonts w:ascii="Times New Roman" w:eastAsia="Times New Roman" w:hAnsi="Times New Roman" w:cs="Times New Roman"/>
        </w:rPr>
        <w:t xml:space="preserve"> nos seus planejamentos orçamentários.</w:t>
      </w:r>
      <w:r w:rsidR="00E62728" w:rsidRPr="006026C8">
        <w:rPr>
          <w:rFonts w:ascii="Times New Roman" w:eastAsia="Times New Roman" w:hAnsi="Times New Roman" w:cs="Times New Roman"/>
        </w:rPr>
        <w:t xml:space="preserve"> No entanto, esta “cultura” deve ser combatida, já que os prejuízos são inúmeros, destaca-se</w:t>
      </w:r>
      <w:r w:rsidR="004B2A32" w:rsidRPr="006026C8">
        <w:rPr>
          <w:rFonts w:ascii="Times New Roman" w:eastAsia="Times New Roman" w:hAnsi="Times New Roman" w:cs="Times New Roman"/>
        </w:rPr>
        <w:t>, sobretudo, a implicação</w:t>
      </w:r>
      <w:r w:rsidR="00E62728" w:rsidRPr="006026C8">
        <w:rPr>
          <w:rFonts w:ascii="Times New Roman" w:eastAsia="Times New Roman" w:hAnsi="Times New Roman" w:cs="Times New Roman"/>
        </w:rPr>
        <w:t xml:space="preserve"> na perda de credibilidade do próprio governo municipal, que se mostra incapaz de prever com um mínimo de precisão sua própria ação governamental. </w:t>
      </w:r>
    </w:p>
    <w:p w14:paraId="4E824A07" w14:textId="5604FF38" w:rsidR="00204E63" w:rsidRPr="00F05EF7" w:rsidRDefault="00204E63" w:rsidP="00AD5592">
      <w:pPr>
        <w:jc w:val="both"/>
        <w:rPr>
          <w:rFonts w:ascii="Times New Roman" w:eastAsia="Times New Roman" w:hAnsi="Times New Roman" w:cs="Times New Roman"/>
        </w:rPr>
      </w:pPr>
      <w:r w:rsidRPr="006026C8">
        <w:rPr>
          <w:rFonts w:ascii="Times New Roman" w:eastAsia="Times New Roman" w:hAnsi="Times New Roman" w:cs="Times New Roman"/>
        </w:rPr>
        <w:tab/>
      </w:r>
      <w:r w:rsidR="004B2A32" w:rsidRPr="006026C8">
        <w:rPr>
          <w:rFonts w:ascii="Times New Roman" w:eastAsia="Times New Roman" w:hAnsi="Times New Roman" w:cs="Times New Roman"/>
        </w:rPr>
        <w:t>Surpreendentemente, os</w:t>
      </w:r>
      <w:r w:rsidR="005A46E6" w:rsidRPr="006026C8">
        <w:rPr>
          <w:rFonts w:ascii="Times New Roman" w:eastAsia="Times New Roman" w:hAnsi="Times New Roman" w:cs="Times New Roman"/>
        </w:rPr>
        <w:t xml:space="preserve"> controle</w:t>
      </w:r>
      <w:r w:rsidR="004B2A32" w:rsidRPr="006026C8">
        <w:rPr>
          <w:rFonts w:ascii="Times New Roman" w:eastAsia="Times New Roman" w:hAnsi="Times New Roman" w:cs="Times New Roman"/>
        </w:rPr>
        <w:t>s</w:t>
      </w:r>
      <w:r w:rsidR="005A46E6" w:rsidRPr="006026C8">
        <w:rPr>
          <w:rFonts w:ascii="Times New Roman" w:eastAsia="Times New Roman" w:hAnsi="Times New Roman" w:cs="Times New Roman"/>
        </w:rPr>
        <w:t xml:space="preserve"> externo</w:t>
      </w:r>
      <w:r w:rsidR="004B2A32" w:rsidRPr="006026C8">
        <w:rPr>
          <w:rFonts w:ascii="Times New Roman" w:eastAsia="Times New Roman" w:hAnsi="Times New Roman" w:cs="Times New Roman"/>
        </w:rPr>
        <w:t xml:space="preserve">s e internos </w:t>
      </w:r>
      <w:r w:rsidR="005A46E6" w:rsidRPr="006026C8">
        <w:rPr>
          <w:rFonts w:ascii="Times New Roman" w:eastAsia="Times New Roman" w:hAnsi="Times New Roman" w:cs="Times New Roman"/>
        </w:rPr>
        <w:t>parece</w:t>
      </w:r>
      <w:r w:rsidR="004B2A32" w:rsidRPr="006026C8">
        <w:rPr>
          <w:rFonts w:ascii="Times New Roman" w:eastAsia="Times New Roman" w:hAnsi="Times New Roman" w:cs="Times New Roman"/>
        </w:rPr>
        <w:t>m</w:t>
      </w:r>
      <w:r w:rsidR="005A46E6" w:rsidRPr="006026C8">
        <w:rPr>
          <w:rFonts w:ascii="Times New Roman" w:eastAsia="Times New Roman" w:hAnsi="Times New Roman" w:cs="Times New Roman"/>
        </w:rPr>
        <w:t xml:space="preserve"> não demonstrar muita preocupação com </w:t>
      </w:r>
      <w:r w:rsidR="00107836" w:rsidRPr="006026C8">
        <w:rPr>
          <w:rFonts w:ascii="Times New Roman" w:eastAsia="Times New Roman" w:hAnsi="Times New Roman" w:cs="Times New Roman"/>
        </w:rPr>
        <w:t>tal</w:t>
      </w:r>
      <w:r w:rsidR="005A46E6" w:rsidRPr="006026C8">
        <w:rPr>
          <w:rFonts w:ascii="Times New Roman" w:eastAsia="Times New Roman" w:hAnsi="Times New Roman" w:cs="Times New Roman"/>
        </w:rPr>
        <w:t xml:space="preserve"> </w:t>
      </w:r>
      <w:r w:rsidR="00107836" w:rsidRPr="006026C8">
        <w:rPr>
          <w:rFonts w:ascii="Times New Roman" w:eastAsia="Times New Roman" w:hAnsi="Times New Roman" w:cs="Times New Roman"/>
        </w:rPr>
        <w:t>situação</w:t>
      </w:r>
      <w:r w:rsidR="005A46E6" w:rsidRPr="006026C8">
        <w:rPr>
          <w:rFonts w:ascii="Times New Roman" w:eastAsia="Times New Roman" w:hAnsi="Times New Roman" w:cs="Times New Roman"/>
        </w:rPr>
        <w:t xml:space="preserve">, visto que </w:t>
      </w:r>
      <w:r w:rsidR="00107836" w:rsidRPr="006026C8">
        <w:rPr>
          <w:rFonts w:ascii="Times New Roman" w:eastAsia="Times New Roman" w:hAnsi="Times New Roman" w:cs="Times New Roman"/>
        </w:rPr>
        <w:t>essas</w:t>
      </w:r>
      <w:r w:rsidR="005A46E6" w:rsidRPr="006026C8">
        <w:rPr>
          <w:rFonts w:ascii="Times New Roman" w:eastAsia="Times New Roman" w:hAnsi="Times New Roman" w:cs="Times New Roman"/>
        </w:rPr>
        <w:t xml:space="preserve"> práticas </w:t>
      </w:r>
      <w:r w:rsidR="009A2523" w:rsidRPr="006026C8">
        <w:rPr>
          <w:rFonts w:ascii="Times New Roman" w:eastAsia="Times New Roman" w:hAnsi="Times New Roman" w:cs="Times New Roman"/>
        </w:rPr>
        <w:t>se mostraram</w:t>
      </w:r>
      <w:r w:rsidR="005A46E6" w:rsidRPr="006026C8">
        <w:rPr>
          <w:rFonts w:ascii="Times New Roman" w:eastAsia="Times New Roman" w:hAnsi="Times New Roman" w:cs="Times New Roman"/>
        </w:rPr>
        <w:t xml:space="preserve"> reiteradas e ocorrem sucessivamente. Destaca-se, </w:t>
      </w:r>
      <w:r w:rsidR="00107836" w:rsidRPr="006026C8">
        <w:rPr>
          <w:rFonts w:ascii="Times New Roman" w:eastAsia="Times New Roman" w:hAnsi="Times New Roman" w:cs="Times New Roman"/>
        </w:rPr>
        <w:t>ainda</w:t>
      </w:r>
      <w:r w:rsidR="005A46E6" w:rsidRPr="006026C8">
        <w:rPr>
          <w:rFonts w:ascii="Times New Roman" w:eastAsia="Times New Roman" w:hAnsi="Times New Roman" w:cs="Times New Roman"/>
        </w:rPr>
        <w:t xml:space="preserve">, o fato de que o estudo avaliou um período de </w:t>
      </w:r>
      <w:r w:rsidR="009A2523" w:rsidRPr="006026C8">
        <w:rPr>
          <w:rFonts w:ascii="Times New Roman" w:eastAsia="Times New Roman" w:hAnsi="Times New Roman" w:cs="Times New Roman"/>
        </w:rPr>
        <w:t xml:space="preserve">cinco </w:t>
      </w:r>
      <w:r w:rsidR="005A46E6" w:rsidRPr="006026C8">
        <w:rPr>
          <w:rFonts w:ascii="Times New Roman" w:eastAsia="Times New Roman" w:hAnsi="Times New Roman" w:cs="Times New Roman"/>
        </w:rPr>
        <w:t xml:space="preserve">exercícios financeiros, ou seja, foram analisados </w:t>
      </w:r>
      <w:r w:rsidR="00107836" w:rsidRPr="006026C8">
        <w:rPr>
          <w:rFonts w:ascii="Times New Roman" w:eastAsia="Times New Roman" w:hAnsi="Times New Roman" w:cs="Times New Roman"/>
        </w:rPr>
        <w:t xml:space="preserve">os </w:t>
      </w:r>
      <w:r w:rsidR="00585119" w:rsidRPr="006026C8">
        <w:rPr>
          <w:rFonts w:ascii="Times New Roman" w:eastAsia="Times New Roman" w:hAnsi="Times New Roman" w:cs="Times New Roman"/>
        </w:rPr>
        <w:t>projetos de Lei Orçamentária</w:t>
      </w:r>
      <w:r w:rsidR="005A46E6" w:rsidRPr="006026C8">
        <w:rPr>
          <w:rFonts w:ascii="Times New Roman" w:eastAsia="Times New Roman" w:hAnsi="Times New Roman" w:cs="Times New Roman"/>
        </w:rPr>
        <w:t xml:space="preserve"> de diferentes gestores (prefeitos)</w:t>
      </w:r>
      <w:r w:rsidR="00107836" w:rsidRPr="006026C8">
        <w:rPr>
          <w:rFonts w:ascii="Times New Roman" w:eastAsia="Times New Roman" w:hAnsi="Times New Roman" w:cs="Times New Roman"/>
        </w:rPr>
        <w:t xml:space="preserve"> e sua execução</w:t>
      </w:r>
      <w:r w:rsidR="005A46E6" w:rsidRPr="006026C8">
        <w:rPr>
          <w:rFonts w:ascii="Times New Roman" w:eastAsia="Times New Roman" w:hAnsi="Times New Roman" w:cs="Times New Roman"/>
        </w:rPr>
        <w:t xml:space="preserve">, razão pela qual não se </w:t>
      </w:r>
      <w:r w:rsidR="00107836" w:rsidRPr="006026C8">
        <w:rPr>
          <w:rFonts w:ascii="Times New Roman" w:eastAsia="Times New Roman" w:hAnsi="Times New Roman" w:cs="Times New Roman"/>
        </w:rPr>
        <w:t>poderia</w:t>
      </w:r>
      <w:r w:rsidR="001A688D" w:rsidRPr="006026C8">
        <w:rPr>
          <w:rFonts w:ascii="Times New Roman" w:eastAsia="Times New Roman" w:hAnsi="Times New Roman" w:cs="Times New Roman"/>
        </w:rPr>
        <w:t>, em tese,</w:t>
      </w:r>
      <w:bookmarkStart w:id="19" w:name="_GoBack"/>
      <w:bookmarkEnd w:id="19"/>
      <w:r w:rsidR="005A46E6" w:rsidRPr="00F05EF7">
        <w:rPr>
          <w:rFonts w:ascii="Times New Roman" w:eastAsia="Times New Roman" w:hAnsi="Times New Roman" w:cs="Times New Roman"/>
        </w:rPr>
        <w:t xml:space="preserve"> atribuir tais resultados </w:t>
      </w:r>
      <w:r w:rsidR="004B2A32" w:rsidRPr="00F05EF7">
        <w:rPr>
          <w:rFonts w:ascii="Times New Roman" w:eastAsia="Times New Roman" w:hAnsi="Times New Roman" w:cs="Times New Roman"/>
        </w:rPr>
        <w:t>a</w:t>
      </w:r>
      <w:r w:rsidR="005A46E6" w:rsidRPr="00F05EF7">
        <w:rPr>
          <w:rFonts w:ascii="Times New Roman" w:eastAsia="Times New Roman" w:hAnsi="Times New Roman" w:cs="Times New Roman"/>
        </w:rPr>
        <w:t xml:space="preserve"> questões políticas.</w:t>
      </w:r>
    </w:p>
    <w:p w14:paraId="775ED677" w14:textId="16E07AB6" w:rsidR="00886BEB" w:rsidRPr="00F05EF7" w:rsidRDefault="00343CFC" w:rsidP="00AD5592">
      <w:pPr>
        <w:ind w:firstLine="720"/>
        <w:jc w:val="both"/>
        <w:rPr>
          <w:rFonts w:ascii="Times New Roman" w:eastAsia="Times New Roman" w:hAnsi="Times New Roman" w:cs="Times New Roman"/>
        </w:rPr>
      </w:pPr>
      <w:r w:rsidRPr="00F05EF7">
        <w:rPr>
          <w:rFonts w:ascii="Times New Roman" w:eastAsia="Times New Roman" w:hAnsi="Times New Roman" w:cs="Times New Roman"/>
        </w:rPr>
        <w:t>A principal limitação do estudo reside no número de municípios que foram avaliados, ou seja, um total de oito. Por isso, sugere-se</w:t>
      </w:r>
      <w:r w:rsidR="004B2A32" w:rsidRPr="00F05EF7">
        <w:rPr>
          <w:rFonts w:ascii="Times New Roman" w:eastAsia="Times New Roman" w:hAnsi="Times New Roman" w:cs="Times New Roman"/>
        </w:rPr>
        <w:t>,</w:t>
      </w:r>
      <w:r w:rsidRPr="00F05EF7">
        <w:rPr>
          <w:rFonts w:ascii="Times New Roman" w:eastAsia="Times New Roman" w:hAnsi="Times New Roman" w:cs="Times New Roman"/>
        </w:rPr>
        <w:t xml:space="preserve"> para futuros estudos</w:t>
      </w:r>
      <w:r w:rsidR="004B2A32" w:rsidRPr="00F05EF7">
        <w:rPr>
          <w:rFonts w:ascii="Times New Roman" w:eastAsia="Times New Roman" w:hAnsi="Times New Roman" w:cs="Times New Roman"/>
        </w:rPr>
        <w:t>,</w:t>
      </w:r>
      <w:r w:rsidRPr="00F05EF7">
        <w:rPr>
          <w:rFonts w:ascii="Times New Roman" w:eastAsia="Times New Roman" w:hAnsi="Times New Roman" w:cs="Times New Roman"/>
        </w:rPr>
        <w:t xml:space="preserve"> a análise de outras amostras, inclusive de municípios pertencentes a outras unidades da federação. Além disso, também </w:t>
      </w:r>
      <w:r w:rsidR="00406FDA" w:rsidRPr="00F05EF7">
        <w:rPr>
          <w:rFonts w:ascii="Times New Roman" w:eastAsia="Times New Roman" w:hAnsi="Times New Roman" w:cs="Times New Roman"/>
        </w:rPr>
        <w:t>seria de grande relevância</w:t>
      </w:r>
      <w:r w:rsidRPr="00F05EF7">
        <w:rPr>
          <w:rFonts w:ascii="Times New Roman" w:eastAsia="Times New Roman" w:hAnsi="Times New Roman" w:cs="Times New Roman"/>
        </w:rPr>
        <w:t xml:space="preserve"> estudos que objetivem a realização de </w:t>
      </w:r>
      <w:r w:rsidR="00886BEB" w:rsidRPr="00F05EF7">
        <w:rPr>
          <w:rFonts w:ascii="Times New Roman" w:eastAsia="Times New Roman" w:hAnsi="Times New Roman" w:cs="Times New Roman"/>
        </w:rPr>
        <w:t>análises individuais de cada município,</w:t>
      </w:r>
      <w:r w:rsidR="001079E3">
        <w:rPr>
          <w:rFonts w:ascii="Times New Roman" w:eastAsia="Times New Roman" w:hAnsi="Times New Roman" w:cs="Times New Roman"/>
        </w:rPr>
        <w:t xml:space="preserve"> mais aprofundadas,</w:t>
      </w:r>
      <w:r w:rsidR="00886BEB" w:rsidRPr="00F05EF7">
        <w:rPr>
          <w:rFonts w:ascii="Times New Roman" w:eastAsia="Times New Roman" w:hAnsi="Times New Roman" w:cs="Times New Roman"/>
        </w:rPr>
        <w:t xml:space="preserve"> a fim de verificar onde se encontram as principa</w:t>
      </w:r>
      <w:r w:rsidRPr="00F05EF7">
        <w:rPr>
          <w:rFonts w:ascii="Times New Roman" w:eastAsia="Times New Roman" w:hAnsi="Times New Roman" w:cs="Times New Roman"/>
        </w:rPr>
        <w:t>is imprecisões</w:t>
      </w:r>
      <w:r w:rsidR="004B2A32" w:rsidRPr="00F05EF7">
        <w:rPr>
          <w:rFonts w:ascii="Times New Roman" w:eastAsia="Times New Roman" w:hAnsi="Times New Roman" w:cs="Times New Roman"/>
        </w:rPr>
        <w:t xml:space="preserve"> e</w:t>
      </w:r>
      <w:r w:rsidR="001079E3">
        <w:rPr>
          <w:rFonts w:ascii="Times New Roman" w:eastAsia="Times New Roman" w:hAnsi="Times New Roman" w:cs="Times New Roman"/>
        </w:rPr>
        <w:t>, quem sabe,</w:t>
      </w:r>
      <w:r w:rsidR="004B2A32" w:rsidRPr="00F05EF7">
        <w:rPr>
          <w:rFonts w:ascii="Times New Roman" w:eastAsia="Times New Roman" w:hAnsi="Times New Roman" w:cs="Times New Roman"/>
        </w:rPr>
        <w:t xml:space="preserve"> os motivos que ensejam essa ocorrência</w:t>
      </w:r>
      <w:r w:rsidRPr="00F05EF7">
        <w:rPr>
          <w:rFonts w:ascii="Times New Roman" w:eastAsia="Times New Roman" w:hAnsi="Times New Roman" w:cs="Times New Roman"/>
        </w:rPr>
        <w:t>.</w:t>
      </w:r>
      <w:r w:rsidR="00A4497F" w:rsidRPr="00F05EF7">
        <w:rPr>
          <w:rFonts w:ascii="Times New Roman" w:eastAsia="Times New Roman" w:hAnsi="Times New Roman" w:cs="Times New Roman"/>
        </w:rPr>
        <w:t xml:space="preserve"> </w:t>
      </w:r>
      <w:r w:rsidR="00886BEB" w:rsidRPr="00F05EF7">
        <w:rPr>
          <w:rFonts w:ascii="Times New Roman" w:eastAsia="Times New Roman" w:hAnsi="Times New Roman" w:cs="Times New Roman"/>
        </w:rPr>
        <w:t>Como exemplo</w:t>
      </w:r>
      <w:r w:rsidR="00A4497F" w:rsidRPr="00F05EF7">
        <w:rPr>
          <w:rFonts w:ascii="Times New Roman" w:eastAsia="Times New Roman" w:hAnsi="Times New Roman" w:cs="Times New Roman"/>
        </w:rPr>
        <w:t>,</w:t>
      </w:r>
      <w:r w:rsidR="00886BEB" w:rsidRPr="00F05EF7">
        <w:rPr>
          <w:rFonts w:ascii="Times New Roman" w:eastAsia="Times New Roman" w:hAnsi="Times New Roman" w:cs="Times New Roman"/>
        </w:rPr>
        <w:t xml:space="preserve"> cita-se a análise individual da imprecisão orçamentária de acordo com as funções e </w:t>
      </w:r>
      <w:proofErr w:type="spellStart"/>
      <w:r w:rsidR="00886BEB" w:rsidRPr="00F05EF7">
        <w:rPr>
          <w:rFonts w:ascii="Times New Roman" w:eastAsia="Times New Roman" w:hAnsi="Times New Roman" w:cs="Times New Roman"/>
        </w:rPr>
        <w:t>subfunções</w:t>
      </w:r>
      <w:proofErr w:type="spellEnd"/>
      <w:r w:rsidR="00886BEB" w:rsidRPr="00F05EF7">
        <w:rPr>
          <w:rFonts w:ascii="Times New Roman" w:eastAsia="Times New Roman" w:hAnsi="Times New Roman" w:cs="Times New Roman"/>
        </w:rPr>
        <w:t xml:space="preserve"> de governo, programas, projetos, atividades, </w:t>
      </w:r>
      <w:r w:rsidR="004B2A32" w:rsidRPr="00F05EF7">
        <w:rPr>
          <w:rFonts w:ascii="Times New Roman" w:eastAsia="Times New Roman" w:hAnsi="Times New Roman" w:cs="Times New Roman"/>
        </w:rPr>
        <w:t xml:space="preserve">entrevista com </w:t>
      </w:r>
      <w:r w:rsidR="008A1471">
        <w:rPr>
          <w:rFonts w:ascii="Times New Roman" w:eastAsia="Times New Roman" w:hAnsi="Times New Roman" w:cs="Times New Roman"/>
        </w:rPr>
        <w:t>servidores dos setores</w:t>
      </w:r>
      <w:r w:rsidR="004B2A32" w:rsidRPr="00F05EF7">
        <w:rPr>
          <w:rFonts w:ascii="Times New Roman" w:eastAsia="Times New Roman" w:hAnsi="Times New Roman" w:cs="Times New Roman"/>
        </w:rPr>
        <w:t xml:space="preserve"> de contabilidade</w:t>
      </w:r>
      <w:r w:rsidR="008A1471">
        <w:rPr>
          <w:rFonts w:ascii="Times New Roman" w:eastAsia="Times New Roman" w:hAnsi="Times New Roman" w:cs="Times New Roman"/>
        </w:rPr>
        <w:t>, finanças</w:t>
      </w:r>
      <w:r w:rsidR="004B2A32" w:rsidRPr="00F05EF7">
        <w:rPr>
          <w:rFonts w:ascii="Times New Roman" w:eastAsia="Times New Roman" w:hAnsi="Times New Roman" w:cs="Times New Roman"/>
        </w:rPr>
        <w:t xml:space="preserve"> e gestores</w:t>
      </w:r>
      <w:r w:rsidR="008A1471">
        <w:rPr>
          <w:rFonts w:ascii="Times New Roman" w:eastAsia="Times New Roman" w:hAnsi="Times New Roman" w:cs="Times New Roman"/>
        </w:rPr>
        <w:t xml:space="preserve"> responsáveis pela realização dos projetos de </w:t>
      </w:r>
      <w:r w:rsidR="00585119">
        <w:rPr>
          <w:rFonts w:ascii="Times New Roman" w:eastAsia="Times New Roman" w:hAnsi="Times New Roman" w:cs="Times New Roman"/>
        </w:rPr>
        <w:t>Lei Orçamentária</w:t>
      </w:r>
      <w:r w:rsidR="008A1471">
        <w:rPr>
          <w:rFonts w:ascii="Times New Roman" w:eastAsia="Times New Roman" w:hAnsi="Times New Roman" w:cs="Times New Roman"/>
        </w:rPr>
        <w:t xml:space="preserve"> do município</w:t>
      </w:r>
      <w:r w:rsidR="00A4497F" w:rsidRPr="00F05EF7">
        <w:rPr>
          <w:rFonts w:ascii="Times New Roman" w:eastAsia="Times New Roman" w:hAnsi="Times New Roman" w:cs="Times New Roman"/>
        </w:rPr>
        <w:t>.</w:t>
      </w:r>
    </w:p>
    <w:p w14:paraId="025981ED" w14:textId="77777777" w:rsidR="001526B3" w:rsidRPr="00F05EF7" w:rsidRDefault="001526B3" w:rsidP="00AD5592">
      <w:pPr>
        <w:ind w:firstLine="720"/>
        <w:jc w:val="both"/>
        <w:rPr>
          <w:rFonts w:ascii="Times New Roman" w:eastAsia="Times New Roman" w:hAnsi="Times New Roman" w:cs="Times New Roman"/>
          <w:b/>
        </w:rPr>
      </w:pPr>
    </w:p>
    <w:p w14:paraId="12C9417B" w14:textId="417375AD" w:rsidR="00821527" w:rsidRDefault="0010504B" w:rsidP="00AD5592">
      <w:pPr>
        <w:widowControl w:val="0"/>
        <w:pBdr>
          <w:top w:val="nil"/>
          <w:left w:val="nil"/>
          <w:bottom w:val="nil"/>
          <w:right w:val="nil"/>
          <w:between w:val="nil"/>
        </w:pBdr>
        <w:rPr>
          <w:rFonts w:ascii="Times New Roman" w:eastAsia="Times New Roman" w:hAnsi="Times New Roman" w:cs="Times New Roman"/>
          <w:b/>
        </w:rPr>
      </w:pPr>
      <w:r w:rsidRPr="00F05EF7">
        <w:rPr>
          <w:rFonts w:ascii="Times New Roman" w:eastAsia="Times New Roman" w:hAnsi="Times New Roman" w:cs="Times New Roman"/>
          <w:b/>
        </w:rPr>
        <w:t>REFERÊNCIAS</w:t>
      </w:r>
    </w:p>
    <w:p w14:paraId="05763ACE" w14:textId="77777777" w:rsidR="00AF0520" w:rsidRPr="00687A4D" w:rsidRDefault="00AF0520" w:rsidP="00AD5592">
      <w:pPr>
        <w:widowControl w:val="0"/>
        <w:pBdr>
          <w:top w:val="nil"/>
          <w:left w:val="nil"/>
          <w:bottom w:val="nil"/>
          <w:right w:val="nil"/>
          <w:between w:val="nil"/>
        </w:pBdr>
        <w:rPr>
          <w:rFonts w:ascii="Times New Roman" w:eastAsia="Times New Roman" w:hAnsi="Times New Roman" w:cs="Times New Roman"/>
          <w:b/>
        </w:rPr>
      </w:pPr>
    </w:p>
    <w:p w14:paraId="4DE1B81E" w14:textId="28A3C124"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ABREU, C. R.; CÂMERA, L. M.</w:t>
      </w:r>
      <w:r w:rsidRPr="00F05EF7">
        <w:rPr>
          <w:rFonts w:ascii="Times New Roman" w:eastAsia="Times New Roman" w:hAnsi="Times New Roman" w:cs="Times New Roman"/>
          <w:b/>
        </w:rPr>
        <w:t xml:space="preserve"> </w:t>
      </w:r>
      <w:r w:rsidRPr="00F05EF7">
        <w:rPr>
          <w:rFonts w:ascii="Times New Roman" w:eastAsia="Times New Roman" w:hAnsi="Times New Roman" w:cs="Times New Roman"/>
        </w:rPr>
        <w:t>O orçamento p</w:t>
      </w:r>
      <w:r w:rsidR="00687A4D">
        <w:rPr>
          <w:rFonts w:ascii="Times New Roman" w:eastAsia="Times New Roman" w:hAnsi="Times New Roman" w:cs="Times New Roman"/>
        </w:rPr>
        <w:t xml:space="preserve">úblico como instrumento de ação </w:t>
      </w:r>
      <w:r w:rsidRPr="00F05EF7">
        <w:rPr>
          <w:rFonts w:ascii="Times New Roman" w:eastAsia="Times New Roman" w:hAnsi="Times New Roman" w:cs="Times New Roman"/>
        </w:rPr>
        <w:t xml:space="preserve">governamental: </w:t>
      </w:r>
      <w:r w:rsidRPr="00930D82">
        <w:rPr>
          <w:rFonts w:ascii="Times New Roman" w:eastAsia="Times New Roman" w:hAnsi="Times New Roman" w:cs="Times New Roman"/>
        </w:rPr>
        <w:t>uma análise de suas redefinições.</w:t>
      </w:r>
      <w:r w:rsidRPr="00F05EF7">
        <w:rPr>
          <w:rFonts w:ascii="Times New Roman" w:eastAsia="Times New Roman" w:hAnsi="Times New Roman" w:cs="Times New Roman"/>
          <w:b/>
        </w:rPr>
        <w:t xml:space="preserve"> </w:t>
      </w:r>
      <w:r w:rsidRPr="00AF0520">
        <w:rPr>
          <w:rFonts w:ascii="Times New Roman" w:eastAsia="Times New Roman" w:hAnsi="Times New Roman" w:cs="Times New Roman"/>
          <w:b/>
          <w:bCs/>
        </w:rPr>
        <w:t xml:space="preserve">Revista </w:t>
      </w:r>
      <w:r w:rsidR="00F7582A">
        <w:rPr>
          <w:rFonts w:ascii="Times New Roman" w:eastAsia="Times New Roman" w:hAnsi="Times New Roman" w:cs="Times New Roman"/>
          <w:b/>
          <w:bCs/>
        </w:rPr>
        <w:t>Administração Pública</w:t>
      </w:r>
      <w:r w:rsidRPr="00F05EF7">
        <w:rPr>
          <w:rFonts w:ascii="Times New Roman" w:eastAsia="Times New Roman" w:hAnsi="Times New Roman" w:cs="Times New Roman"/>
          <w:i/>
        </w:rPr>
        <w:t>,</w:t>
      </w:r>
      <w:r w:rsidRPr="00F05EF7">
        <w:rPr>
          <w:rFonts w:ascii="Times New Roman" w:eastAsia="Times New Roman" w:hAnsi="Times New Roman" w:cs="Times New Roman"/>
          <w:b/>
        </w:rPr>
        <w:t xml:space="preserve"> </w:t>
      </w:r>
      <w:r w:rsidRPr="00F05EF7">
        <w:rPr>
          <w:rFonts w:ascii="Times New Roman" w:eastAsia="Times New Roman" w:hAnsi="Times New Roman" w:cs="Times New Roman"/>
        </w:rPr>
        <w:t>v. 49 (1), p. 73-90, 2015.</w:t>
      </w:r>
    </w:p>
    <w:p w14:paraId="47A0A0DE" w14:textId="77777777" w:rsidR="00AF0520" w:rsidRPr="00F05EF7" w:rsidRDefault="00AF0520" w:rsidP="00AD5592">
      <w:pPr>
        <w:widowControl w:val="0"/>
        <w:pBdr>
          <w:top w:val="nil"/>
          <w:left w:val="nil"/>
          <w:bottom w:val="nil"/>
          <w:right w:val="nil"/>
          <w:between w:val="nil"/>
        </w:pBdr>
        <w:jc w:val="both"/>
      </w:pPr>
    </w:p>
    <w:p w14:paraId="676125B9" w14:textId="78483F29"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bookmarkStart w:id="20" w:name="_2p2csry" w:colFirst="0" w:colLast="0"/>
      <w:bookmarkEnd w:id="20"/>
      <w:r w:rsidRPr="00F05EF7">
        <w:rPr>
          <w:rFonts w:ascii="Times New Roman" w:eastAsia="Times New Roman" w:hAnsi="Times New Roman" w:cs="Times New Roman"/>
        </w:rPr>
        <w:t xml:space="preserve">ABRUCIO, F. L.; PEDROTI, P.; PÓ, M. V. </w:t>
      </w:r>
      <w:r w:rsidRPr="00F05EF7">
        <w:rPr>
          <w:rFonts w:ascii="Times New Roman" w:eastAsia="Times New Roman" w:hAnsi="Times New Roman" w:cs="Times New Roman"/>
          <w:b/>
        </w:rPr>
        <w:t>Burocracia e política no Brasil: desafios para o Estado democrático no século XXI</w:t>
      </w:r>
      <w:r w:rsidRPr="00F05EF7">
        <w:rPr>
          <w:rFonts w:ascii="Times New Roman" w:eastAsia="Times New Roman" w:hAnsi="Times New Roman" w:cs="Times New Roman"/>
        </w:rPr>
        <w:t xml:space="preserve">. </w:t>
      </w:r>
      <w:r w:rsidRPr="00F05EF7">
        <w:rPr>
          <w:rFonts w:ascii="Times New Roman" w:eastAsia="Times New Roman" w:hAnsi="Times New Roman" w:cs="Times New Roman"/>
          <w:lang w:val="en-US"/>
        </w:rPr>
        <w:t>Rio de Janeiro: FGV, 2010.</w:t>
      </w:r>
    </w:p>
    <w:p w14:paraId="06ABF1EC" w14:textId="77777777" w:rsidR="00AF0520" w:rsidRPr="00F05EF7" w:rsidRDefault="00AF0520" w:rsidP="00AD5592">
      <w:pPr>
        <w:widowControl w:val="0"/>
        <w:pBdr>
          <w:top w:val="nil"/>
          <w:left w:val="nil"/>
          <w:bottom w:val="nil"/>
          <w:right w:val="nil"/>
          <w:between w:val="nil"/>
        </w:pBdr>
        <w:jc w:val="both"/>
        <w:rPr>
          <w:lang w:val="en-US"/>
        </w:rPr>
      </w:pPr>
    </w:p>
    <w:p w14:paraId="14F10759" w14:textId="0D6C9F1D"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ALBUQUERQUE, B. Fiscal institutions and public spending volatility in Europe</w:t>
      </w:r>
      <w:r w:rsidRPr="00930D82">
        <w:rPr>
          <w:rFonts w:ascii="Times New Roman" w:eastAsia="Times New Roman" w:hAnsi="Times New Roman" w:cs="Times New Roman"/>
          <w:lang w:val="en-US"/>
        </w:rPr>
        <w:t>.</w:t>
      </w:r>
      <w:r w:rsidRPr="00930D82">
        <w:rPr>
          <w:rFonts w:ascii="Times New Roman" w:eastAsia="Times New Roman" w:hAnsi="Times New Roman" w:cs="Times New Roman"/>
          <w:b/>
          <w:lang w:val="en-US"/>
        </w:rPr>
        <w:t xml:space="preserve"> </w:t>
      </w:r>
      <w:proofErr w:type="spellStart"/>
      <w:r w:rsidRPr="00930D82">
        <w:rPr>
          <w:rFonts w:ascii="Times New Roman" w:eastAsia="Times New Roman" w:hAnsi="Times New Roman" w:cs="Times New Roman"/>
          <w:b/>
        </w:rPr>
        <w:t>Economic</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Modelling</w:t>
      </w:r>
      <w:proofErr w:type="spellEnd"/>
      <w:r w:rsidRPr="00F05EF7">
        <w:rPr>
          <w:rFonts w:ascii="Times New Roman" w:eastAsia="Times New Roman" w:hAnsi="Times New Roman" w:cs="Times New Roman"/>
        </w:rPr>
        <w:t>, v. 28, n. 6, p. 2544-2559, 2011.</w:t>
      </w:r>
    </w:p>
    <w:p w14:paraId="1B20CDBD"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0AFC4517" w14:textId="0AF34B37" w:rsidR="00AF0520"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ALMEIDA, A. J.; NEROSKY, L.C. </w:t>
      </w:r>
      <w:r w:rsidRPr="00F05EF7">
        <w:rPr>
          <w:rFonts w:ascii="Times New Roman" w:eastAsia="Times New Roman" w:hAnsi="Times New Roman" w:cs="Times New Roman"/>
          <w:b/>
        </w:rPr>
        <w:t>Diagnóstico do processo orçamentário federal e propostas de medidas de reforma - modelos orçamentários em outros países</w:t>
      </w:r>
      <w:r w:rsidRPr="00F05EF7">
        <w:rPr>
          <w:rFonts w:ascii="Times New Roman" w:eastAsia="Times New Roman" w:hAnsi="Times New Roman" w:cs="Times New Roman"/>
        </w:rPr>
        <w:t>. Disponível em: &lt;www.portalsof.planejamento.gov.br&gt;. 2006.</w:t>
      </w:r>
    </w:p>
    <w:p w14:paraId="010D78D6" w14:textId="329937E0"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6026C8">
        <w:rPr>
          <w:rFonts w:ascii="Times New Roman" w:eastAsia="Times New Roman" w:hAnsi="Times New Roman" w:cs="Times New Roman"/>
        </w:rPr>
        <w:t xml:space="preserve">ANESSI-PESSINA, E; SICILIA, M.; STECCOLINI, I. </w:t>
      </w:r>
      <w:proofErr w:type="spellStart"/>
      <w:r w:rsidRPr="006026C8">
        <w:rPr>
          <w:rFonts w:ascii="Times New Roman" w:eastAsia="Times New Roman" w:hAnsi="Times New Roman" w:cs="Times New Roman"/>
        </w:rPr>
        <w:t>Budgeting</w:t>
      </w:r>
      <w:proofErr w:type="spellEnd"/>
      <w:r w:rsidRPr="006026C8">
        <w:rPr>
          <w:rFonts w:ascii="Times New Roman" w:eastAsia="Times New Roman" w:hAnsi="Times New Roman" w:cs="Times New Roman"/>
        </w:rPr>
        <w:t xml:space="preserve"> </w:t>
      </w:r>
      <w:proofErr w:type="spellStart"/>
      <w:r w:rsidRPr="006026C8">
        <w:rPr>
          <w:rFonts w:ascii="Times New Roman" w:eastAsia="Times New Roman" w:hAnsi="Times New Roman" w:cs="Times New Roman"/>
        </w:rPr>
        <w:t>and</w:t>
      </w:r>
      <w:proofErr w:type="spellEnd"/>
      <w:r w:rsidRPr="006026C8">
        <w:rPr>
          <w:rFonts w:ascii="Times New Roman" w:eastAsia="Times New Roman" w:hAnsi="Times New Roman" w:cs="Times New Roman"/>
        </w:rPr>
        <w:t xml:space="preserve"> </w:t>
      </w:r>
      <w:proofErr w:type="spellStart"/>
      <w:r w:rsidRPr="006026C8">
        <w:rPr>
          <w:rFonts w:ascii="Times New Roman" w:eastAsia="Times New Roman" w:hAnsi="Times New Roman" w:cs="Times New Roman"/>
        </w:rPr>
        <w:t>Rebudgeting</w:t>
      </w:r>
      <w:proofErr w:type="spellEnd"/>
      <w:r w:rsidRPr="006026C8">
        <w:rPr>
          <w:rFonts w:ascii="Times New Roman" w:eastAsia="Times New Roman" w:hAnsi="Times New Roman" w:cs="Times New Roman"/>
        </w:rPr>
        <w:t xml:space="preserve"> in Local </w:t>
      </w:r>
      <w:proofErr w:type="spellStart"/>
      <w:r w:rsidRPr="006026C8">
        <w:rPr>
          <w:rFonts w:ascii="Times New Roman" w:eastAsia="Times New Roman" w:hAnsi="Times New Roman" w:cs="Times New Roman"/>
        </w:rPr>
        <w:t>Governments</w:t>
      </w:r>
      <w:proofErr w:type="spellEnd"/>
      <w:r w:rsidRPr="006026C8">
        <w:rPr>
          <w:rFonts w:ascii="Times New Roman" w:eastAsia="Times New Roman" w:hAnsi="Times New Roman" w:cs="Times New Roman"/>
        </w:rPr>
        <w:t xml:space="preserve">: </w:t>
      </w:r>
      <w:proofErr w:type="spellStart"/>
      <w:r w:rsidRPr="006026C8">
        <w:rPr>
          <w:rFonts w:ascii="Times New Roman" w:eastAsia="Times New Roman" w:hAnsi="Times New Roman" w:cs="Times New Roman"/>
        </w:rPr>
        <w:t>Siamese</w:t>
      </w:r>
      <w:proofErr w:type="spellEnd"/>
      <w:r w:rsidRPr="006026C8">
        <w:rPr>
          <w:rFonts w:ascii="Times New Roman" w:eastAsia="Times New Roman" w:hAnsi="Times New Roman" w:cs="Times New Roman"/>
        </w:rPr>
        <w:t xml:space="preserve"> </w:t>
      </w:r>
      <w:proofErr w:type="spellStart"/>
      <w:r w:rsidRPr="006026C8">
        <w:rPr>
          <w:rFonts w:ascii="Times New Roman" w:eastAsia="Times New Roman" w:hAnsi="Times New Roman" w:cs="Times New Roman"/>
        </w:rPr>
        <w:t>Twins</w:t>
      </w:r>
      <w:proofErr w:type="spellEnd"/>
      <w:r w:rsidRPr="006026C8">
        <w:rPr>
          <w:rFonts w:ascii="Times New Roman" w:eastAsia="Times New Roman" w:hAnsi="Times New Roman" w:cs="Times New Roman"/>
        </w:rPr>
        <w:t xml:space="preserve">? </w:t>
      </w:r>
      <w:proofErr w:type="spellStart"/>
      <w:r w:rsidRPr="00930D82">
        <w:rPr>
          <w:rFonts w:ascii="Times New Roman" w:eastAsia="Times New Roman" w:hAnsi="Times New Roman" w:cs="Times New Roman"/>
          <w:b/>
        </w:rPr>
        <w:t>Public</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Administration</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Review</w:t>
      </w:r>
      <w:proofErr w:type="spellEnd"/>
      <w:r w:rsidRPr="00F05EF7">
        <w:rPr>
          <w:rFonts w:ascii="Times New Roman" w:eastAsia="Times New Roman" w:hAnsi="Times New Roman" w:cs="Times New Roman"/>
        </w:rPr>
        <w:t>, v. 72(6), p. 875- 884, 2012.</w:t>
      </w:r>
    </w:p>
    <w:p w14:paraId="3B015D60"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7CE154AC" w14:textId="3E67ECEA"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ANGÉLICO, João. </w:t>
      </w:r>
      <w:r w:rsidRPr="00F05EF7">
        <w:rPr>
          <w:rFonts w:ascii="Times New Roman" w:eastAsia="Times New Roman" w:hAnsi="Times New Roman" w:cs="Times New Roman"/>
          <w:b/>
        </w:rPr>
        <w:t>Contabilidade Pública</w:t>
      </w:r>
      <w:r w:rsidRPr="00F05EF7">
        <w:rPr>
          <w:rFonts w:ascii="Times New Roman" w:eastAsia="Times New Roman" w:hAnsi="Times New Roman" w:cs="Times New Roman"/>
        </w:rPr>
        <w:t>. São Paulo: Atlas, 1995.</w:t>
      </w:r>
    </w:p>
    <w:p w14:paraId="33F899F6"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6B7A4DC2" w14:textId="63373ABF"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lang w:val="en-US"/>
        </w:rPr>
        <w:t xml:space="preserve">AUCION P. Administrative reform in public management: paradigms, principles, paradoxes, and pendulums. </w:t>
      </w:r>
      <w:r w:rsidRPr="00930D82">
        <w:rPr>
          <w:rFonts w:ascii="Times New Roman" w:eastAsia="Times New Roman" w:hAnsi="Times New Roman" w:cs="Times New Roman"/>
          <w:b/>
          <w:lang w:val="en-US"/>
        </w:rPr>
        <w:t>Governance</w:t>
      </w:r>
      <w:r w:rsidRPr="00F05EF7">
        <w:rPr>
          <w:rFonts w:ascii="Times New Roman" w:eastAsia="Times New Roman" w:hAnsi="Times New Roman" w:cs="Times New Roman"/>
          <w:lang w:val="en-US"/>
        </w:rPr>
        <w:t>, v. 3, n. 2, p. 115-37, 1990.</w:t>
      </w:r>
    </w:p>
    <w:p w14:paraId="58D59D0F"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4E05F9D8" w14:textId="15F722F7"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lastRenderedPageBreak/>
        <w:t xml:space="preserve">AUCOIN, P. Administrative reform in public management. </w:t>
      </w:r>
      <w:proofErr w:type="spellStart"/>
      <w:r w:rsidRPr="00930D82">
        <w:rPr>
          <w:rFonts w:ascii="Times New Roman" w:eastAsia="Times New Roman" w:hAnsi="Times New Roman" w:cs="Times New Roman"/>
          <w:b/>
        </w:rPr>
        <w:t>Governance</w:t>
      </w:r>
      <w:proofErr w:type="spellEnd"/>
      <w:r w:rsidRPr="00F05EF7">
        <w:rPr>
          <w:rFonts w:ascii="Times New Roman" w:eastAsia="Times New Roman" w:hAnsi="Times New Roman" w:cs="Times New Roman"/>
        </w:rPr>
        <w:t>, v. 3, p. 115-137, 1990.</w:t>
      </w:r>
    </w:p>
    <w:p w14:paraId="45052164"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564EC2BC" w14:textId="70DED3FD"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AZEVEDO, R. R. </w:t>
      </w:r>
      <w:r w:rsidRPr="00F05EF7">
        <w:rPr>
          <w:rFonts w:ascii="Times New Roman" w:eastAsia="Times New Roman" w:hAnsi="Times New Roman" w:cs="Times New Roman"/>
          <w:b/>
        </w:rPr>
        <w:t>Imprecisão na estimação orçamentária dos municípios brasileiros</w:t>
      </w:r>
      <w:r w:rsidRPr="00F05EF7">
        <w:rPr>
          <w:rFonts w:ascii="Times New Roman" w:eastAsia="Times New Roman" w:hAnsi="Times New Roman" w:cs="Times New Roman"/>
        </w:rPr>
        <w:t>. 2013. 178 p. Dissertação (Mestrado em Controladoria e Contabilidade) – Universidade de São Paulo, São Paulo, 2013.</w:t>
      </w:r>
    </w:p>
    <w:p w14:paraId="2F7788DF"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5F5B30BA" w14:textId="17CAA583"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BEKKER, V.; EDELENBOS, J.; STEIJN, B. </w:t>
      </w:r>
      <w:r w:rsidRPr="00F05EF7">
        <w:rPr>
          <w:rFonts w:ascii="Times New Roman" w:eastAsia="Times New Roman" w:hAnsi="Times New Roman" w:cs="Times New Roman"/>
          <w:b/>
          <w:lang w:val="en-US"/>
        </w:rPr>
        <w:t>Innovation in the Public Sector: Linking capacity and leadership</w:t>
      </w:r>
      <w:r w:rsidRPr="00F05EF7">
        <w:rPr>
          <w:rFonts w:ascii="Times New Roman" w:eastAsia="Times New Roman" w:hAnsi="Times New Roman" w:cs="Times New Roman"/>
          <w:lang w:val="en-US"/>
        </w:rPr>
        <w:t xml:space="preserve"> (Public management series). </w:t>
      </w:r>
      <w:r w:rsidRPr="00957C2B">
        <w:rPr>
          <w:rFonts w:ascii="Times New Roman" w:eastAsia="Times New Roman" w:hAnsi="Times New Roman" w:cs="Times New Roman"/>
        </w:rPr>
        <w:t xml:space="preserve">United </w:t>
      </w:r>
      <w:proofErr w:type="spellStart"/>
      <w:r w:rsidRPr="00957C2B">
        <w:rPr>
          <w:rFonts w:ascii="Times New Roman" w:eastAsia="Times New Roman" w:hAnsi="Times New Roman" w:cs="Times New Roman"/>
        </w:rPr>
        <w:t>Kingdom</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Palgrave</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Macmillan</w:t>
      </w:r>
      <w:proofErr w:type="spellEnd"/>
      <w:r w:rsidRPr="00957C2B">
        <w:rPr>
          <w:rFonts w:ascii="Times New Roman" w:eastAsia="Times New Roman" w:hAnsi="Times New Roman" w:cs="Times New Roman"/>
        </w:rPr>
        <w:t>, 2014.</w:t>
      </w:r>
    </w:p>
    <w:p w14:paraId="543C458A" w14:textId="77777777" w:rsidR="00AF0520" w:rsidRPr="00957C2B"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1CAFCCFF" w14:textId="2744ACC1"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BRASIL. </w:t>
      </w:r>
      <w:r w:rsidRPr="00F05EF7">
        <w:rPr>
          <w:rFonts w:ascii="Times New Roman" w:eastAsia="Times New Roman" w:hAnsi="Times New Roman" w:cs="Times New Roman"/>
          <w:b/>
        </w:rPr>
        <w:t>Constituição da República Federativa do Brasil de 1988</w:t>
      </w:r>
      <w:r w:rsidRPr="00F05EF7">
        <w:rPr>
          <w:rFonts w:ascii="Times New Roman" w:eastAsia="Times New Roman" w:hAnsi="Times New Roman" w:cs="Times New Roman"/>
        </w:rPr>
        <w:t>. Disponível em &lt;http://www.planalto.gov.br/ccivil_03/constituicao/ConstituicaoCompilado.htm&gt;. Acesso em: 20 set. 2018.</w:t>
      </w:r>
    </w:p>
    <w:p w14:paraId="10A437FD"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1F582582" w14:textId="0704B084"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BRASIL. </w:t>
      </w:r>
      <w:r w:rsidRPr="00F05EF7">
        <w:rPr>
          <w:rFonts w:ascii="Times New Roman" w:eastAsia="Times New Roman" w:hAnsi="Times New Roman" w:cs="Times New Roman"/>
          <w:b/>
        </w:rPr>
        <w:t>Decreto n. 5.378</w:t>
      </w:r>
      <w:r w:rsidRPr="00F05EF7">
        <w:rPr>
          <w:rFonts w:ascii="Times New Roman" w:eastAsia="Times New Roman" w:hAnsi="Times New Roman" w:cs="Times New Roman"/>
        </w:rPr>
        <w:t>, de 23 de fevereiro de 2005. Brasília, 2005. Disponível em: &lt; http://www.planalto.gov.br/ccivil_03/_Ato2004-2006/2005/Decreto/D5378.htm&gt;. Acesso em: 20 set. 2018</w:t>
      </w:r>
    </w:p>
    <w:p w14:paraId="59F475FE"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13A3C206" w14:textId="125F7A67"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BRASIL. </w:t>
      </w:r>
      <w:r w:rsidRPr="00F05EF7">
        <w:rPr>
          <w:rFonts w:ascii="Times New Roman" w:eastAsia="Times New Roman" w:hAnsi="Times New Roman" w:cs="Times New Roman"/>
          <w:b/>
        </w:rPr>
        <w:t>Decreto nº 2.829</w:t>
      </w:r>
      <w:r w:rsidRPr="00F05EF7">
        <w:rPr>
          <w:rFonts w:ascii="Times New Roman" w:eastAsia="Times New Roman" w:hAnsi="Times New Roman" w:cs="Times New Roman"/>
        </w:rPr>
        <w:t>, de 29 de outubro de 1998. Estabelece normas para elaboração e execução do Plano Plurianual e dos Orçamentos da União, e dá outras providências. Disponível em &lt;http://www.planalto.gov.br/ccivil_03/decreto/D2829.htm&gt;. Acesso em: 10 abr. 2019.</w:t>
      </w:r>
    </w:p>
    <w:p w14:paraId="73E76ED2"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0C5712D6" w14:textId="6DD2D491"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BRASIL. </w:t>
      </w:r>
      <w:r w:rsidRPr="00F05EF7">
        <w:rPr>
          <w:rFonts w:ascii="Times New Roman" w:eastAsia="Times New Roman" w:hAnsi="Times New Roman" w:cs="Times New Roman"/>
          <w:b/>
        </w:rPr>
        <w:t>Decreto-Lei nº 200</w:t>
      </w:r>
      <w:r w:rsidRPr="00F05EF7">
        <w:rPr>
          <w:rFonts w:ascii="Times New Roman" w:eastAsia="Times New Roman" w:hAnsi="Times New Roman" w:cs="Times New Roman"/>
        </w:rPr>
        <w:t xml:space="preserve">, de 25 de fevereiro de 1967. Dispõe sobre a organização da </w:t>
      </w:r>
      <w:r w:rsidR="00F7582A">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Federal, estabelece diretrizes para a Reforma Administrativa e dá outras providências. Disponível em: &lt;http://www.planalto.gov.br/ccivil_03/decreto-lei/del0200.htm&gt;. Acesso em: 10 abr. 2019.</w:t>
      </w:r>
    </w:p>
    <w:p w14:paraId="036FE49C"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037A4721" w14:textId="7FDD7609"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BRASIL. </w:t>
      </w:r>
      <w:r w:rsidRPr="00F05EF7">
        <w:rPr>
          <w:rFonts w:ascii="Times New Roman" w:eastAsia="Times New Roman" w:hAnsi="Times New Roman" w:cs="Times New Roman"/>
          <w:b/>
        </w:rPr>
        <w:t>Lei complementar nº 101</w:t>
      </w:r>
      <w:r w:rsidRPr="00F05EF7">
        <w:rPr>
          <w:rFonts w:ascii="Times New Roman" w:eastAsia="Times New Roman" w:hAnsi="Times New Roman" w:cs="Times New Roman"/>
        </w:rPr>
        <w:t xml:space="preserve">, de 04 de maio de 2000. Estabelece normas de </w:t>
      </w:r>
      <w:r w:rsidR="009A7A3C">
        <w:rPr>
          <w:rFonts w:ascii="Times New Roman" w:eastAsia="Times New Roman" w:hAnsi="Times New Roman" w:cs="Times New Roman"/>
        </w:rPr>
        <w:t>Finanças Públicas</w:t>
      </w:r>
      <w:r w:rsidRPr="00F05EF7">
        <w:rPr>
          <w:rFonts w:ascii="Times New Roman" w:eastAsia="Times New Roman" w:hAnsi="Times New Roman" w:cs="Times New Roman"/>
        </w:rPr>
        <w:t xml:space="preserve"> voltadas para a responsabilidade na gestão fiscal e dá outras providências. Disponível em &lt;http://www.planalto.gov.br/ccivil_03/LEIS/LCP/Lcp101.htm&gt;. Acesso em: 10 abr. 2019.</w:t>
      </w:r>
    </w:p>
    <w:p w14:paraId="3CD525A8"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050776FD" w14:textId="58127DDD"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BRASIL. </w:t>
      </w:r>
      <w:r w:rsidRPr="00F05EF7">
        <w:rPr>
          <w:rFonts w:ascii="Times New Roman" w:eastAsia="Times New Roman" w:hAnsi="Times New Roman" w:cs="Times New Roman"/>
          <w:b/>
        </w:rPr>
        <w:t>Lei n. 4320</w:t>
      </w:r>
      <w:r w:rsidRPr="00F05EF7">
        <w:rPr>
          <w:rFonts w:ascii="Times New Roman" w:eastAsia="Times New Roman" w:hAnsi="Times New Roman" w:cs="Times New Roman"/>
        </w:rPr>
        <w:t>, de 17 de março de 1964, Estatui Normas Gerais de Direito Financeiro para a elaboração e controle dos orçamentos e balanços da União, dos Estados, dos Municípios e do Distrito Federal. Disponível em: &lt; http://www.planalto.gov.br/ccivil_03/Leis/L4320.htm&gt;. Acesso em: 20 set. 2018.</w:t>
      </w:r>
    </w:p>
    <w:p w14:paraId="58736D56"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7C6AB1CB" w14:textId="5F366537" w:rsidR="00821527" w:rsidRPr="006026C8"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rPr>
        <w:t xml:space="preserve">BRUNI, A. L.; GOMES, S. M. </w:t>
      </w:r>
      <w:proofErr w:type="spellStart"/>
      <w:r w:rsidRPr="00F05EF7">
        <w:rPr>
          <w:rFonts w:ascii="Times New Roman" w:eastAsia="Times New Roman" w:hAnsi="Times New Roman" w:cs="Times New Roman"/>
        </w:rPr>
        <w:t>da</w:t>
      </w:r>
      <w:proofErr w:type="spellEnd"/>
      <w:r w:rsidRPr="00F05EF7">
        <w:rPr>
          <w:rFonts w:ascii="Times New Roman" w:eastAsia="Times New Roman" w:hAnsi="Times New Roman" w:cs="Times New Roman"/>
        </w:rPr>
        <w:t xml:space="preserve"> S. </w:t>
      </w:r>
      <w:r w:rsidRPr="00F05EF7">
        <w:rPr>
          <w:rFonts w:ascii="Times New Roman" w:eastAsia="Times New Roman" w:hAnsi="Times New Roman" w:cs="Times New Roman"/>
          <w:b/>
        </w:rPr>
        <w:t>Controladoria: conceitos, ferramentas e desafios</w:t>
      </w:r>
      <w:r w:rsidRPr="00F05EF7">
        <w:rPr>
          <w:rFonts w:ascii="Times New Roman" w:eastAsia="Times New Roman" w:hAnsi="Times New Roman" w:cs="Times New Roman"/>
        </w:rPr>
        <w:t xml:space="preserve">. </w:t>
      </w:r>
      <w:r w:rsidRPr="006026C8">
        <w:rPr>
          <w:rFonts w:ascii="Times New Roman" w:eastAsia="Times New Roman" w:hAnsi="Times New Roman" w:cs="Times New Roman"/>
          <w:lang w:val="en-US"/>
        </w:rPr>
        <w:t xml:space="preserve">1. ed. Salvador: </w:t>
      </w:r>
      <w:proofErr w:type="spellStart"/>
      <w:r w:rsidRPr="006026C8">
        <w:rPr>
          <w:rFonts w:ascii="Times New Roman" w:eastAsia="Times New Roman" w:hAnsi="Times New Roman" w:cs="Times New Roman"/>
          <w:lang w:val="en-US"/>
        </w:rPr>
        <w:t>Edufba</w:t>
      </w:r>
      <w:proofErr w:type="spellEnd"/>
      <w:r w:rsidRPr="006026C8">
        <w:rPr>
          <w:rFonts w:ascii="Times New Roman" w:eastAsia="Times New Roman" w:hAnsi="Times New Roman" w:cs="Times New Roman"/>
          <w:lang w:val="en-US"/>
        </w:rPr>
        <w:t>, 2010.</w:t>
      </w:r>
    </w:p>
    <w:p w14:paraId="44D5DB2D" w14:textId="77777777" w:rsidR="00AF0520" w:rsidRPr="006026C8"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07C3790F" w14:textId="5B463246" w:rsidR="004D1ACE" w:rsidRDefault="004D1ACE"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4D1ACE">
        <w:rPr>
          <w:rFonts w:ascii="Times New Roman" w:eastAsia="Times New Roman" w:hAnsi="Times New Roman" w:cs="Times New Roman"/>
          <w:lang w:val="en-US"/>
        </w:rPr>
        <w:t>BURNS, J.; SCAPENS, R. W. Conceptualizing management accounting change: an</w:t>
      </w:r>
      <w:r>
        <w:rPr>
          <w:rFonts w:ascii="Times New Roman" w:eastAsia="Times New Roman" w:hAnsi="Times New Roman" w:cs="Times New Roman"/>
          <w:lang w:val="en-US"/>
        </w:rPr>
        <w:t xml:space="preserve"> </w:t>
      </w:r>
      <w:r w:rsidRPr="004D1ACE">
        <w:rPr>
          <w:rFonts w:ascii="Times New Roman" w:eastAsia="Times New Roman" w:hAnsi="Times New Roman" w:cs="Times New Roman"/>
          <w:lang w:val="en-US"/>
        </w:rPr>
        <w:t xml:space="preserve">institutional framework. </w:t>
      </w:r>
      <w:r w:rsidRPr="00930D82">
        <w:rPr>
          <w:rFonts w:ascii="Times New Roman" w:eastAsia="Times New Roman" w:hAnsi="Times New Roman" w:cs="Times New Roman"/>
          <w:b/>
          <w:lang w:val="en-US"/>
        </w:rPr>
        <w:t>Management Accounting Research</w:t>
      </w:r>
      <w:r w:rsidRPr="004D1ACE">
        <w:rPr>
          <w:rFonts w:ascii="Times New Roman" w:eastAsia="Times New Roman" w:hAnsi="Times New Roman" w:cs="Times New Roman"/>
          <w:lang w:val="en-US"/>
        </w:rPr>
        <w:t>, v. 11, p. 3-25, 2000.</w:t>
      </w:r>
    </w:p>
    <w:p w14:paraId="2F039AF8" w14:textId="77777777" w:rsidR="00AF0520" w:rsidRPr="004D1ACE"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3E7C13E7" w14:textId="385CF961"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lang w:val="en-US"/>
        </w:rPr>
        <w:t xml:space="preserve">CARAYANNIS, E. G. et al. Business Model Innovation as Lever of Organizational Sustainability. </w:t>
      </w:r>
      <w:r w:rsidRPr="00930D82">
        <w:rPr>
          <w:rFonts w:ascii="Times New Roman" w:eastAsia="Times New Roman" w:hAnsi="Times New Roman" w:cs="Times New Roman"/>
          <w:b/>
          <w:lang w:val="en-US"/>
        </w:rPr>
        <w:t>Journal of Technology Transfer</w:t>
      </w:r>
      <w:r w:rsidRPr="00F05EF7">
        <w:rPr>
          <w:rFonts w:ascii="Times New Roman" w:eastAsia="Times New Roman" w:hAnsi="Times New Roman" w:cs="Times New Roman"/>
          <w:lang w:val="en-US"/>
        </w:rPr>
        <w:t>, v. 40, p. 440-463, 2014.</w:t>
      </w:r>
    </w:p>
    <w:p w14:paraId="61D7DD8C"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5F66F46C" w14:textId="2736005F"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6026C8">
        <w:rPr>
          <w:rFonts w:ascii="Times New Roman" w:eastAsia="Times New Roman" w:hAnsi="Times New Roman" w:cs="Times New Roman"/>
        </w:rPr>
        <w:t xml:space="preserve">CALIXTO, G. E.; VELASQUEZ, M. D. </w:t>
      </w:r>
      <w:proofErr w:type="gramStart"/>
      <w:r w:rsidRPr="006026C8">
        <w:rPr>
          <w:rFonts w:ascii="Times New Roman" w:eastAsia="Times New Roman" w:hAnsi="Times New Roman" w:cs="Times New Roman"/>
        </w:rPr>
        <w:t>P..</w:t>
      </w:r>
      <w:proofErr w:type="gramEnd"/>
      <w:r w:rsidRPr="006026C8">
        <w:rPr>
          <w:rFonts w:ascii="Times New Roman" w:eastAsia="Times New Roman" w:hAnsi="Times New Roman" w:cs="Times New Roman"/>
        </w:rPr>
        <w:t xml:space="preserve"> </w:t>
      </w:r>
      <w:r w:rsidRPr="00F05EF7">
        <w:rPr>
          <w:rFonts w:ascii="Times New Roman" w:eastAsia="Times New Roman" w:hAnsi="Times New Roman" w:cs="Times New Roman"/>
        </w:rPr>
        <w:t xml:space="preserve">Sistema de controle interno na </w:t>
      </w:r>
      <w:r w:rsidR="00F7582A">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federal. </w:t>
      </w:r>
      <w:r w:rsidRPr="00930D82">
        <w:rPr>
          <w:rFonts w:ascii="Times New Roman" w:eastAsia="Times New Roman" w:hAnsi="Times New Roman" w:cs="Times New Roman"/>
          <w:b/>
        </w:rPr>
        <w:t>Revista Eletrônica de Contabilidade UFSM</w:t>
      </w:r>
      <w:r w:rsidRPr="00F05EF7">
        <w:rPr>
          <w:rFonts w:ascii="Times New Roman" w:eastAsia="Times New Roman" w:hAnsi="Times New Roman" w:cs="Times New Roman"/>
        </w:rPr>
        <w:t>, 2005.</w:t>
      </w:r>
    </w:p>
    <w:p w14:paraId="0FD42A99"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0BBBAAD4" w14:textId="1F50BB3E"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COSTA, L. F.; CASTANHAR, C. J. Avaliação de programas públicos: desafios conceituais e </w:t>
      </w:r>
      <w:r w:rsidRPr="00F05EF7">
        <w:rPr>
          <w:rFonts w:ascii="Times New Roman" w:eastAsia="Times New Roman" w:hAnsi="Times New Roman" w:cs="Times New Roman"/>
        </w:rPr>
        <w:lastRenderedPageBreak/>
        <w:t xml:space="preserve">metodológicos. </w:t>
      </w:r>
      <w:r w:rsidRPr="00930D82">
        <w:rPr>
          <w:rFonts w:ascii="Times New Roman" w:eastAsia="Times New Roman" w:hAnsi="Times New Roman" w:cs="Times New Roman"/>
          <w:b/>
        </w:rPr>
        <w:t xml:space="preserve">Revista de </w:t>
      </w:r>
      <w:r w:rsidR="00F7582A">
        <w:rPr>
          <w:rFonts w:ascii="Times New Roman" w:eastAsia="Times New Roman" w:hAnsi="Times New Roman" w:cs="Times New Roman"/>
          <w:b/>
        </w:rPr>
        <w:t>Administração Pública</w:t>
      </w:r>
      <w:r w:rsidRPr="00957C2B">
        <w:rPr>
          <w:rFonts w:ascii="Times New Roman" w:eastAsia="Times New Roman" w:hAnsi="Times New Roman" w:cs="Times New Roman"/>
        </w:rPr>
        <w:t>, v. 37(5), p. 969-992, 2003.</w:t>
      </w:r>
    </w:p>
    <w:p w14:paraId="29D92CF7" w14:textId="77777777" w:rsidR="00AF0520" w:rsidRPr="00957C2B"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39954774" w14:textId="0B9EC3B2"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957C2B">
        <w:rPr>
          <w:rFonts w:ascii="Times New Roman" w:eastAsia="Times New Roman" w:hAnsi="Times New Roman" w:cs="Times New Roman"/>
        </w:rPr>
        <w:t xml:space="preserve">COUSINS, J., et al. </w:t>
      </w:r>
      <w:r w:rsidRPr="00F05EF7">
        <w:rPr>
          <w:rFonts w:ascii="Times New Roman" w:eastAsia="Times New Roman" w:hAnsi="Times New Roman" w:cs="Times New Roman"/>
          <w:lang w:val="en-US"/>
        </w:rPr>
        <w:t xml:space="preserve">Government and voluntary sector differences in organizational capacity to do and use evaluation. </w:t>
      </w:r>
      <w:proofErr w:type="spellStart"/>
      <w:r w:rsidRPr="00930D82">
        <w:rPr>
          <w:rFonts w:ascii="Times New Roman" w:eastAsia="Times New Roman" w:hAnsi="Times New Roman" w:cs="Times New Roman"/>
          <w:b/>
        </w:rPr>
        <w:t>Evaluation</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and</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Program</w:t>
      </w:r>
      <w:proofErr w:type="spellEnd"/>
      <w:r w:rsidRPr="00930D82">
        <w:rPr>
          <w:rFonts w:ascii="Times New Roman" w:eastAsia="Times New Roman" w:hAnsi="Times New Roman" w:cs="Times New Roman"/>
          <w:b/>
        </w:rPr>
        <w:t xml:space="preserve"> Planning</w:t>
      </w:r>
      <w:r w:rsidRPr="00F05EF7">
        <w:rPr>
          <w:rFonts w:ascii="Times New Roman" w:eastAsia="Times New Roman" w:hAnsi="Times New Roman" w:cs="Times New Roman"/>
        </w:rPr>
        <w:t>, v. 44, p. 1–13, 2014.</w:t>
      </w:r>
    </w:p>
    <w:p w14:paraId="64C62D79"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2EE30F13" w14:textId="21CB626F"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COUTO, C. L.; BARBOSA NETO, E. J.; RESENDE, L. L. Flexibilidade do orçamento público perante a execução orçamentária. </w:t>
      </w:r>
      <w:r w:rsidRPr="00930D82">
        <w:rPr>
          <w:rFonts w:ascii="Times New Roman" w:eastAsia="Times New Roman" w:hAnsi="Times New Roman" w:cs="Times New Roman"/>
          <w:b/>
        </w:rPr>
        <w:t>Revista Mineira de Contabilidade</w:t>
      </w:r>
      <w:r w:rsidRPr="00F05EF7">
        <w:rPr>
          <w:rFonts w:ascii="Times New Roman" w:eastAsia="Times New Roman" w:hAnsi="Times New Roman" w:cs="Times New Roman"/>
        </w:rPr>
        <w:t>, v. 19, n. 1, p. 42-54, 2018.</w:t>
      </w:r>
    </w:p>
    <w:p w14:paraId="128C103F"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b/>
        </w:rPr>
      </w:pPr>
    </w:p>
    <w:p w14:paraId="57C60EE3" w14:textId="6D26F40A" w:rsidR="00821527" w:rsidRPr="006026C8"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rPr>
        <w:t xml:space="preserve">CRUZ, C. F., et al. Transparência da gestão pública municipal: um estudo a partir dos portais eletrônicos dos maiores municípios brasileiros. </w:t>
      </w:r>
      <w:proofErr w:type="spellStart"/>
      <w:r w:rsidRPr="006026C8">
        <w:rPr>
          <w:rFonts w:ascii="Times New Roman" w:eastAsia="Times New Roman" w:hAnsi="Times New Roman" w:cs="Times New Roman"/>
          <w:b/>
          <w:lang w:val="en-US"/>
        </w:rPr>
        <w:t>Revista</w:t>
      </w:r>
      <w:proofErr w:type="spellEnd"/>
      <w:r w:rsidRPr="006026C8">
        <w:rPr>
          <w:rFonts w:ascii="Times New Roman" w:eastAsia="Times New Roman" w:hAnsi="Times New Roman" w:cs="Times New Roman"/>
          <w:b/>
          <w:lang w:val="en-US"/>
        </w:rPr>
        <w:t xml:space="preserve"> de </w:t>
      </w:r>
      <w:proofErr w:type="spellStart"/>
      <w:r w:rsidR="00F7582A" w:rsidRPr="006026C8">
        <w:rPr>
          <w:rFonts w:ascii="Times New Roman" w:eastAsia="Times New Roman" w:hAnsi="Times New Roman" w:cs="Times New Roman"/>
          <w:b/>
          <w:lang w:val="en-US"/>
        </w:rPr>
        <w:t>Administração</w:t>
      </w:r>
      <w:proofErr w:type="spellEnd"/>
      <w:r w:rsidR="00F7582A" w:rsidRPr="006026C8">
        <w:rPr>
          <w:rFonts w:ascii="Times New Roman" w:eastAsia="Times New Roman" w:hAnsi="Times New Roman" w:cs="Times New Roman"/>
          <w:b/>
          <w:lang w:val="en-US"/>
        </w:rPr>
        <w:t xml:space="preserve"> </w:t>
      </w:r>
      <w:proofErr w:type="spellStart"/>
      <w:r w:rsidR="00F7582A" w:rsidRPr="006026C8">
        <w:rPr>
          <w:rFonts w:ascii="Times New Roman" w:eastAsia="Times New Roman" w:hAnsi="Times New Roman" w:cs="Times New Roman"/>
          <w:b/>
          <w:lang w:val="en-US"/>
        </w:rPr>
        <w:t>Pública</w:t>
      </w:r>
      <w:proofErr w:type="spellEnd"/>
      <w:r w:rsidRPr="006026C8">
        <w:rPr>
          <w:rFonts w:ascii="Times New Roman" w:eastAsia="Times New Roman" w:hAnsi="Times New Roman" w:cs="Times New Roman"/>
          <w:lang w:val="en-US"/>
        </w:rPr>
        <w:t xml:space="preserve">, 46, p. 153-176, 2012. </w:t>
      </w:r>
    </w:p>
    <w:p w14:paraId="25CA487D" w14:textId="77777777" w:rsidR="00AF0520" w:rsidRPr="006026C8"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0367F946" w14:textId="5C4BBA67"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lang w:val="en-US"/>
        </w:rPr>
        <w:t xml:space="preserve">FACCHINI, F.; MELKI, M. Efficient government size: </w:t>
      </w:r>
      <w:proofErr w:type="spellStart"/>
      <w:r w:rsidRPr="00F05EF7">
        <w:rPr>
          <w:rFonts w:ascii="Times New Roman" w:eastAsia="Times New Roman" w:hAnsi="Times New Roman" w:cs="Times New Roman"/>
          <w:lang w:val="en-US"/>
        </w:rPr>
        <w:t>france</w:t>
      </w:r>
      <w:proofErr w:type="spellEnd"/>
      <w:r w:rsidRPr="00F05EF7">
        <w:rPr>
          <w:rFonts w:ascii="Times New Roman" w:eastAsia="Times New Roman" w:hAnsi="Times New Roman" w:cs="Times New Roman"/>
          <w:lang w:val="en-US"/>
        </w:rPr>
        <w:t xml:space="preserve"> in the 20th century. European </w:t>
      </w:r>
      <w:r w:rsidRPr="00930D82">
        <w:rPr>
          <w:rFonts w:ascii="Times New Roman" w:eastAsia="Times New Roman" w:hAnsi="Times New Roman" w:cs="Times New Roman"/>
          <w:b/>
          <w:lang w:val="en-US"/>
        </w:rPr>
        <w:t>Journal of Political Economy</w:t>
      </w:r>
      <w:r w:rsidRPr="00F05EF7">
        <w:rPr>
          <w:rFonts w:ascii="Times New Roman" w:eastAsia="Times New Roman" w:hAnsi="Times New Roman" w:cs="Times New Roman"/>
          <w:lang w:val="en-US"/>
        </w:rPr>
        <w:t>, v. 31, p. 1-14, 2013.</w:t>
      </w:r>
    </w:p>
    <w:p w14:paraId="603AD6D6"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46D2B797" w14:textId="4C50AC47"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FELGUEIRAS, José </w:t>
      </w:r>
      <w:proofErr w:type="spellStart"/>
      <w:r w:rsidRPr="00F05EF7">
        <w:rPr>
          <w:rFonts w:ascii="Times New Roman" w:eastAsia="Times New Roman" w:hAnsi="Times New Roman" w:cs="Times New Roman"/>
          <w:lang w:val="en-US"/>
        </w:rPr>
        <w:t>Antônio</w:t>
      </w:r>
      <w:proofErr w:type="spellEnd"/>
      <w:r w:rsidRPr="00F05EF7">
        <w:rPr>
          <w:rFonts w:ascii="Times New Roman" w:eastAsia="Times New Roman" w:hAnsi="Times New Roman" w:cs="Times New Roman"/>
          <w:lang w:val="en-US"/>
        </w:rPr>
        <w:t xml:space="preserve">. </w:t>
      </w:r>
      <w:r w:rsidRPr="00F05EF7">
        <w:rPr>
          <w:rFonts w:ascii="Times New Roman" w:eastAsia="Times New Roman" w:hAnsi="Times New Roman" w:cs="Times New Roman"/>
          <w:b/>
        </w:rPr>
        <w:t>Contabilidade Pública</w:t>
      </w:r>
      <w:r w:rsidRPr="00F05EF7">
        <w:rPr>
          <w:rFonts w:ascii="Times New Roman" w:eastAsia="Times New Roman" w:hAnsi="Times New Roman" w:cs="Times New Roman"/>
        </w:rPr>
        <w:t xml:space="preserve">. Rio de </w:t>
      </w:r>
      <w:proofErr w:type="spellStart"/>
      <w:r w:rsidRPr="00F05EF7">
        <w:rPr>
          <w:rFonts w:ascii="Times New Roman" w:eastAsia="Times New Roman" w:hAnsi="Times New Roman" w:cs="Times New Roman"/>
        </w:rPr>
        <w:t>Janeiro:Freitas</w:t>
      </w:r>
      <w:proofErr w:type="spellEnd"/>
      <w:r w:rsidRPr="00F05EF7">
        <w:rPr>
          <w:rFonts w:ascii="Times New Roman" w:eastAsia="Times New Roman" w:hAnsi="Times New Roman" w:cs="Times New Roman"/>
        </w:rPr>
        <w:t xml:space="preserve"> Bastos, 2007.</w:t>
      </w:r>
    </w:p>
    <w:p w14:paraId="4DEE0625"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7279A8FB" w14:textId="135E9008"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rPr>
        <w:t xml:space="preserve">FILGUEIRAS, F. Indo além do gerencial: a agenda da governança democrática e a mudança silenciada no Brasil. </w:t>
      </w:r>
      <w:proofErr w:type="spellStart"/>
      <w:r w:rsidRPr="00930D82">
        <w:rPr>
          <w:rFonts w:ascii="Times New Roman" w:eastAsia="Times New Roman" w:hAnsi="Times New Roman" w:cs="Times New Roman"/>
          <w:b/>
          <w:lang w:val="en-US"/>
        </w:rPr>
        <w:t>Revista</w:t>
      </w:r>
      <w:proofErr w:type="spellEnd"/>
      <w:r w:rsidRPr="00930D82">
        <w:rPr>
          <w:rFonts w:ascii="Times New Roman" w:eastAsia="Times New Roman" w:hAnsi="Times New Roman" w:cs="Times New Roman"/>
          <w:b/>
          <w:lang w:val="en-US"/>
        </w:rPr>
        <w:t xml:space="preserve"> </w:t>
      </w:r>
      <w:proofErr w:type="spellStart"/>
      <w:r w:rsidR="00F7582A">
        <w:rPr>
          <w:rFonts w:ascii="Times New Roman" w:eastAsia="Times New Roman" w:hAnsi="Times New Roman" w:cs="Times New Roman"/>
          <w:b/>
          <w:lang w:val="en-US"/>
        </w:rPr>
        <w:t>Administração</w:t>
      </w:r>
      <w:proofErr w:type="spellEnd"/>
      <w:r w:rsidR="00F7582A">
        <w:rPr>
          <w:rFonts w:ascii="Times New Roman" w:eastAsia="Times New Roman" w:hAnsi="Times New Roman" w:cs="Times New Roman"/>
          <w:b/>
          <w:lang w:val="en-US"/>
        </w:rPr>
        <w:t xml:space="preserve"> </w:t>
      </w:r>
      <w:proofErr w:type="spellStart"/>
      <w:r w:rsidR="00F7582A">
        <w:rPr>
          <w:rFonts w:ascii="Times New Roman" w:eastAsia="Times New Roman" w:hAnsi="Times New Roman" w:cs="Times New Roman"/>
          <w:b/>
          <w:lang w:val="en-US"/>
        </w:rPr>
        <w:t>Pública</w:t>
      </w:r>
      <w:proofErr w:type="spellEnd"/>
      <w:r w:rsidRPr="00930D82">
        <w:rPr>
          <w:rFonts w:ascii="Times New Roman" w:eastAsia="Times New Roman" w:hAnsi="Times New Roman" w:cs="Times New Roman"/>
          <w:lang w:val="en-US"/>
        </w:rPr>
        <w:t>,</w:t>
      </w:r>
      <w:r w:rsidRPr="00F05EF7">
        <w:rPr>
          <w:rFonts w:ascii="Times New Roman" w:eastAsia="Times New Roman" w:hAnsi="Times New Roman" w:cs="Times New Roman"/>
          <w:lang w:val="en-US"/>
        </w:rPr>
        <w:t xml:space="preserve"> v.  52(1), p. 71-88, 2018.</w:t>
      </w:r>
    </w:p>
    <w:p w14:paraId="10C73AD0"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4054A430" w14:textId="4627FDA0"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FONCHAMNYO, D.C.; SAMA, M. C. Determinants of public spending efficiency in education and health: evidence from selected CEMAC countries. </w:t>
      </w:r>
      <w:proofErr w:type="spellStart"/>
      <w:r w:rsidRPr="00930D82">
        <w:rPr>
          <w:rFonts w:ascii="Times New Roman" w:eastAsia="Times New Roman" w:hAnsi="Times New Roman" w:cs="Times New Roman"/>
          <w:b/>
        </w:rPr>
        <w:t>Journal</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of</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Economics</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and</w:t>
      </w:r>
      <w:proofErr w:type="spellEnd"/>
      <w:r w:rsidR="00687A4D">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Finance</w:t>
      </w:r>
      <w:proofErr w:type="spellEnd"/>
      <w:r w:rsidRPr="00F05EF7">
        <w:rPr>
          <w:rFonts w:ascii="Times New Roman" w:eastAsia="Times New Roman" w:hAnsi="Times New Roman" w:cs="Times New Roman"/>
        </w:rPr>
        <w:t>, v. 40, n.1, p. 199-210, 2016.</w:t>
      </w:r>
    </w:p>
    <w:p w14:paraId="0739C895"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0A2B9AC9" w14:textId="4ED0AD5B"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FREZATTI, F. </w:t>
      </w:r>
      <w:r w:rsidRPr="00F05EF7">
        <w:rPr>
          <w:rFonts w:ascii="Times New Roman" w:eastAsia="Times New Roman" w:hAnsi="Times New Roman" w:cs="Times New Roman"/>
          <w:b/>
        </w:rPr>
        <w:t>Orçamento empresarial: planejamento e controle gerencial</w:t>
      </w:r>
      <w:r w:rsidRPr="00F05EF7">
        <w:rPr>
          <w:rFonts w:ascii="Times New Roman" w:eastAsia="Times New Roman" w:hAnsi="Times New Roman" w:cs="Times New Roman"/>
        </w:rPr>
        <w:t>. 5 ed. São Paulo: Atlas, 2009</w:t>
      </w:r>
    </w:p>
    <w:p w14:paraId="369762DC"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45DDC039" w14:textId="68B873DA"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lang w:val="en-US"/>
        </w:rPr>
        <w:t xml:space="preserve">FUERLINGER, G.; FANDL, U.; FUNKE, T. The role of the state in the entrepreneurship ecosystem: insights from Germany. </w:t>
      </w:r>
      <w:r w:rsidRPr="00930D82">
        <w:rPr>
          <w:rFonts w:ascii="Times New Roman" w:eastAsia="Times New Roman" w:hAnsi="Times New Roman" w:cs="Times New Roman"/>
          <w:b/>
          <w:lang w:val="en-US"/>
        </w:rPr>
        <w:t>Triple Helix</w:t>
      </w:r>
      <w:r w:rsidRPr="00F05EF7">
        <w:rPr>
          <w:rFonts w:ascii="Times New Roman" w:eastAsia="Times New Roman" w:hAnsi="Times New Roman" w:cs="Times New Roman"/>
          <w:lang w:val="en-US"/>
        </w:rPr>
        <w:t>, v. 2, n. 3, p. 1-26, 2015.</w:t>
      </w:r>
    </w:p>
    <w:p w14:paraId="07415B8C"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731903D1" w14:textId="7161CC2B"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GAJENDRAN, T.; OLORUNTOBA, R. Governance and resilience: A case of re-development after a bushfire disaster. </w:t>
      </w:r>
      <w:proofErr w:type="spellStart"/>
      <w:r w:rsidRPr="00930D82">
        <w:rPr>
          <w:rFonts w:ascii="Times New Roman" w:eastAsia="Times New Roman" w:hAnsi="Times New Roman" w:cs="Times New Roman"/>
          <w:b/>
        </w:rPr>
        <w:t>Technological</w:t>
      </w:r>
      <w:proofErr w:type="spellEnd"/>
      <w:r w:rsidRPr="00930D82">
        <w:rPr>
          <w:rFonts w:ascii="Times New Roman" w:eastAsia="Times New Roman" w:hAnsi="Times New Roman" w:cs="Times New Roman"/>
          <w:b/>
        </w:rPr>
        <w:t xml:space="preserve"> </w:t>
      </w:r>
      <w:proofErr w:type="spellStart"/>
      <w:r w:rsidRPr="00930D82">
        <w:rPr>
          <w:rFonts w:ascii="Times New Roman" w:eastAsia="Times New Roman" w:hAnsi="Times New Roman" w:cs="Times New Roman"/>
          <w:b/>
        </w:rPr>
        <w:t>Forecasting</w:t>
      </w:r>
      <w:proofErr w:type="spellEnd"/>
      <w:r w:rsidRPr="00930D82">
        <w:rPr>
          <w:rFonts w:ascii="Times New Roman" w:eastAsia="Times New Roman" w:hAnsi="Times New Roman" w:cs="Times New Roman"/>
          <w:b/>
        </w:rPr>
        <w:t xml:space="preserve"> &amp; Social </w:t>
      </w:r>
      <w:proofErr w:type="spellStart"/>
      <w:r w:rsidRPr="00930D82">
        <w:rPr>
          <w:rFonts w:ascii="Times New Roman" w:eastAsia="Times New Roman" w:hAnsi="Times New Roman" w:cs="Times New Roman"/>
          <w:b/>
        </w:rPr>
        <w:t>Change</w:t>
      </w:r>
      <w:proofErr w:type="spellEnd"/>
      <w:r w:rsidRPr="00F05EF7">
        <w:rPr>
          <w:rFonts w:ascii="Times New Roman" w:eastAsia="Times New Roman" w:hAnsi="Times New Roman" w:cs="Times New Roman"/>
        </w:rPr>
        <w:t>, v. 121, p. 50-64, 2017.</w:t>
      </w:r>
    </w:p>
    <w:p w14:paraId="4FE2844F"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21B46E86" w14:textId="3FFA99C0"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GIACOMONI, J. </w:t>
      </w:r>
      <w:r w:rsidRPr="00F05EF7">
        <w:rPr>
          <w:rFonts w:ascii="Times New Roman" w:eastAsia="Times New Roman" w:hAnsi="Times New Roman" w:cs="Times New Roman"/>
          <w:b/>
        </w:rPr>
        <w:t>Orçamento Público</w:t>
      </w:r>
      <w:r w:rsidRPr="00F05EF7">
        <w:rPr>
          <w:rFonts w:ascii="Times New Roman" w:eastAsia="Times New Roman" w:hAnsi="Times New Roman" w:cs="Times New Roman"/>
        </w:rPr>
        <w:t>. São Paulo: Atlas, 2010.</w:t>
      </w:r>
    </w:p>
    <w:p w14:paraId="0BE9266E"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5C84FA60" w14:textId="0A740EF9" w:rsidR="00460510"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rPr>
        <w:t xml:space="preserve">GIL, A.C. </w:t>
      </w:r>
      <w:r w:rsidRPr="00F05EF7">
        <w:rPr>
          <w:rFonts w:ascii="Times New Roman" w:eastAsia="Times New Roman" w:hAnsi="Times New Roman" w:cs="Times New Roman"/>
          <w:b/>
        </w:rPr>
        <w:t>Como Elaborar Projetos de Pesquisa</w:t>
      </w:r>
      <w:r w:rsidRPr="00F05EF7">
        <w:rPr>
          <w:rFonts w:ascii="Times New Roman" w:eastAsia="Times New Roman" w:hAnsi="Times New Roman" w:cs="Times New Roman"/>
        </w:rPr>
        <w:t xml:space="preserve">. São Paulo. 5º Ed. Editora: Atlas. </w:t>
      </w:r>
      <w:r w:rsidR="00687A4D">
        <w:rPr>
          <w:rFonts w:ascii="Times New Roman" w:eastAsia="Times New Roman" w:hAnsi="Times New Roman" w:cs="Times New Roman"/>
          <w:lang w:val="en-US"/>
        </w:rPr>
        <w:t>2010</w:t>
      </w:r>
    </w:p>
    <w:p w14:paraId="216F2519"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16881CC9" w14:textId="3FEF043A"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lang w:val="en-US"/>
        </w:rPr>
        <w:t xml:space="preserve">GUARNACCI, U. </w:t>
      </w:r>
      <w:r w:rsidRPr="00F05EF7">
        <w:rPr>
          <w:rFonts w:ascii="Times New Roman" w:eastAsia="Times New Roman" w:hAnsi="Times New Roman" w:cs="Times New Roman"/>
          <w:b/>
          <w:lang w:val="en-US"/>
        </w:rPr>
        <w:t xml:space="preserve">Governance for sustainable reconstruction after disasters: lessons from </w:t>
      </w:r>
      <w:proofErr w:type="spellStart"/>
      <w:r w:rsidRPr="00F05EF7">
        <w:rPr>
          <w:rFonts w:ascii="Times New Roman" w:eastAsia="Times New Roman" w:hAnsi="Times New Roman" w:cs="Times New Roman"/>
          <w:b/>
          <w:lang w:val="en-US"/>
        </w:rPr>
        <w:t>Nias</w:t>
      </w:r>
      <w:proofErr w:type="spellEnd"/>
      <w:r w:rsidRPr="00F05EF7">
        <w:rPr>
          <w:rFonts w:ascii="Times New Roman" w:eastAsia="Times New Roman" w:hAnsi="Times New Roman" w:cs="Times New Roman"/>
          <w:lang w:val="en-US"/>
        </w:rPr>
        <w:t>. Indonesia. Environ. Dev, 2012.</w:t>
      </w:r>
    </w:p>
    <w:p w14:paraId="4F81FE3C"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7EC509BB" w14:textId="55F47B9C"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GUESS, G. M.; LELOUP, L. T. </w:t>
      </w:r>
      <w:r w:rsidRPr="00F05EF7">
        <w:rPr>
          <w:rFonts w:ascii="Times New Roman" w:eastAsia="Times New Roman" w:hAnsi="Times New Roman" w:cs="Times New Roman"/>
          <w:b/>
          <w:lang w:val="en-US"/>
        </w:rPr>
        <w:t>Comparative Public Budgeting.</w:t>
      </w:r>
      <w:r w:rsidRPr="00F05EF7">
        <w:rPr>
          <w:rFonts w:ascii="Times New Roman" w:eastAsia="Times New Roman" w:hAnsi="Times New Roman" w:cs="Times New Roman"/>
          <w:lang w:val="en-US"/>
        </w:rPr>
        <w:t xml:space="preserve"> </w:t>
      </w:r>
      <w:r w:rsidRPr="00F05EF7">
        <w:rPr>
          <w:rFonts w:ascii="Times New Roman" w:eastAsia="Times New Roman" w:hAnsi="Times New Roman" w:cs="Times New Roman"/>
        </w:rPr>
        <w:t xml:space="preserve">New York: </w:t>
      </w:r>
      <w:proofErr w:type="spellStart"/>
      <w:r w:rsidRPr="00F05EF7">
        <w:rPr>
          <w:rFonts w:ascii="Times New Roman" w:eastAsia="Times New Roman" w:hAnsi="Times New Roman" w:cs="Times New Roman"/>
        </w:rPr>
        <w:t>Suny</w:t>
      </w:r>
      <w:proofErr w:type="spellEnd"/>
      <w:r w:rsidRPr="00F05EF7">
        <w:rPr>
          <w:rFonts w:ascii="Times New Roman" w:eastAsia="Times New Roman" w:hAnsi="Times New Roman" w:cs="Times New Roman"/>
        </w:rPr>
        <w:t xml:space="preserve"> Press, 2010.</w:t>
      </w:r>
    </w:p>
    <w:p w14:paraId="1F36E937"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68134C68" w14:textId="1EA6456C"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GUINDANI, A. A.; GUINDANI, R. A.; CRUZ, J. A. W.; MARTINS, T. S. </w:t>
      </w:r>
      <w:r w:rsidRPr="00F05EF7">
        <w:rPr>
          <w:rFonts w:ascii="Times New Roman" w:eastAsia="Times New Roman" w:hAnsi="Times New Roman" w:cs="Times New Roman"/>
          <w:b/>
        </w:rPr>
        <w:t>Planejamento estratégico orçamentário</w:t>
      </w:r>
      <w:r w:rsidRPr="00F05EF7">
        <w:rPr>
          <w:rFonts w:ascii="Times New Roman" w:eastAsia="Times New Roman" w:hAnsi="Times New Roman" w:cs="Times New Roman"/>
        </w:rPr>
        <w:t xml:space="preserve">. Curitiba: </w:t>
      </w:r>
      <w:proofErr w:type="spellStart"/>
      <w:r w:rsidRPr="00F05EF7">
        <w:rPr>
          <w:rFonts w:ascii="Times New Roman" w:eastAsia="Times New Roman" w:hAnsi="Times New Roman" w:cs="Times New Roman"/>
        </w:rPr>
        <w:t>Intersaberes</w:t>
      </w:r>
      <w:proofErr w:type="spellEnd"/>
      <w:r w:rsidRPr="00F05EF7">
        <w:rPr>
          <w:rFonts w:ascii="Times New Roman" w:eastAsia="Times New Roman" w:hAnsi="Times New Roman" w:cs="Times New Roman"/>
        </w:rPr>
        <w:t>, 2012</w:t>
      </w:r>
    </w:p>
    <w:p w14:paraId="6BC20E88"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47672D30" w14:textId="0EB4707E"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GUINDANI, M. V. F.; PINTO, N. G. M. </w:t>
      </w:r>
      <w:r w:rsidRPr="008E4526">
        <w:rPr>
          <w:rFonts w:ascii="Times New Roman" w:eastAsia="Times New Roman" w:hAnsi="Times New Roman" w:cs="Times New Roman"/>
        </w:rPr>
        <w:t>Análise do Orçamento: O caso de uma cooperativa do Rio Grande do Sul.</w:t>
      </w:r>
      <w:r w:rsidRPr="00F05EF7">
        <w:rPr>
          <w:rFonts w:ascii="Times New Roman" w:eastAsia="Times New Roman" w:hAnsi="Times New Roman" w:cs="Times New Roman"/>
        </w:rPr>
        <w:t xml:space="preserve"> </w:t>
      </w:r>
      <w:r w:rsidRPr="008E4526">
        <w:rPr>
          <w:rFonts w:ascii="Times New Roman" w:eastAsia="Times New Roman" w:hAnsi="Times New Roman" w:cs="Times New Roman"/>
          <w:b/>
        </w:rPr>
        <w:t xml:space="preserve">Revista de Gestão e Organizações Cooperativas </w:t>
      </w:r>
      <w:r w:rsidR="008E4526">
        <w:rPr>
          <w:rFonts w:ascii="Times New Roman" w:eastAsia="Times New Roman" w:hAnsi="Times New Roman" w:cs="Times New Roman"/>
          <w:b/>
        </w:rPr>
        <w:t>–</w:t>
      </w:r>
      <w:r w:rsidRPr="008E4526">
        <w:rPr>
          <w:rFonts w:ascii="Times New Roman" w:eastAsia="Times New Roman" w:hAnsi="Times New Roman" w:cs="Times New Roman"/>
          <w:b/>
        </w:rPr>
        <w:t xml:space="preserve"> RGC</w:t>
      </w:r>
      <w:r w:rsidR="008E4526">
        <w:rPr>
          <w:rFonts w:ascii="Times New Roman" w:eastAsia="Times New Roman" w:hAnsi="Times New Roman" w:cs="Times New Roman"/>
        </w:rPr>
        <w:t>, v. 3, n. 6, p. 31-42,</w:t>
      </w:r>
      <w:r w:rsidRPr="00F05EF7">
        <w:rPr>
          <w:rFonts w:ascii="Times New Roman" w:eastAsia="Times New Roman" w:hAnsi="Times New Roman" w:cs="Times New Roman"/>
        </w:rPr>
        <w:t xml:space="preserve"> 2016.</w:t>
      </w:r>
    </w:p>
    <w:p w14:paraId="3B4C59A1"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2D9E177A" w14:textId="7B1756BE" w:rsidR="00821527" w:rsidRDefault="00614EC6" w:rsidP="00AD5592">
      <w:pPr>
        <w:widowControl w:val="0"/>
        <w:pBdr>
          <w:top w:val="nil"/>
          <w:left w:val="nil"/>
          <w:bottom w:val="nil"/>
          <w:right w:val="nil"/>
          <w:between w:val="nil"/>
        </w:pBdr>
        <w:jc w:val="both"/>
        <w:rPr>
          <w:rFonts w:ascii="Times New Roman" w:eastAsia="Times New Roman" w:hAnsi="Times New Roman" w:cs="Times New Roman"/>
        </w:rPr>
      </w:pPr>
      <w:bookmarkStart w:id="21" w:name="_147n2zr" w:colFirst="0" w:colLast="0"/>
      <w:bookmarkEnd w:id="21"/>
      <w:r>
        <w:rPr>
          <w:rFonts w:ascii="Times New Roman" w:eastAsia="Times New Roman" w:hAnsi="Times New Roman" w:cs="Times New Roman"/>
          <w:lang w:val="en-US"/>
        </w:rPr>
        <w:t>JENSEN M.;</w:t>
      </w:r>
      <w:r w:rsidR="0010504B" w:rsidRPr="00F05EF7">
        <w:rPr>
          <w:rFonts w:ascii="Times New Roman" w:eastAsia="Times New Roman" w:hAnsi="Times New Roman" w:cs="Times New Roman"/>
          <w:lang w:val="en-US"/>
        </w:rPr>
        <w:t xml:space="preserve"> MECKLING, W. </w:t>
      </w:r>
      <w:r w:rsidR="0010504B" w:rsidRPr="00614EC6">
        <w:rPr>
          <w:rFonts w:ascii="Times New Roman" w:eastAsia="Times New Roman" w:hAnsi="Times New Roman" w:cs="Times New Roman"/>
          <w:lang w:val="en-US"/>
        </w:rPr>
        <w:t>Theory of the firm: Managerial behavior, agency cost, and</w:t>
      </w:r>
      <w:r w:rsidR="00AF6D4F" w:rsidRPr="00614EC6">
        <w:rPr>
          <w:lang w:val="en-US"/>
        </w:rPr>
        <w:t xml:space="preserve"> </w:t>
      </w:r>
      <w:r w:rsidR="00AF6D4F" w:rsidRPr="00614EC6">
        <w:rPr>
          <w:rFonts w:ascii="Times New Roman" w:eastAsia="Times New Roman" w:hAnsi="Times New Roman" w:cs="Times New Roman"/>
          <w:lang w:val="en-US"/>
        </w:rPr>
        <w:t>ownership structure.</w:t>
      </w:r>
      <w:r w:rsidR="00AF6D4F" w:rsidRPr="00F05EF7">
        <w:rPr>
          <w:rFonts w:ascii="Times New Roman" w:eastAsia="Times New Roman" w:hAnsi="Times New Roman" w:cs="Times New Roman"/>
          <w:b/>
          <w:lang w:val="en-US"/>
        </w:rPr>
        <w:t xml:space="preserve"> </w:t>
      </w:r>
      <w:proofErr w:type="spellStart"/>
      <w:r w:rsidR="00AF6D4F" w:rsidRPr="00614EC6">
        <w:rPr>
          <w:rFonts w:ascii="Times New Roman" w:eastAsia="Times New Roman" w:hAnsi="Times New Roman" w:cs="Times New Roman"/>
          <w:b/>
        </w:rPr>
        <w:t>Journal</w:t>
      </w:r>
      <w:proofErr w:type="spellEnd"/>
      <w:r w:rsidR="00AF6D4F" w:rsidRPr="00614EC6">
        <w:rPr>
          <w:rFonts w:ascii="Times New Roman" w:eastAsia="Times New Roman" w:hAnsi="Times New Roman" w:cs="Times New Roman"/>
          <w:b/>
        </w:rPr>
        <w:t xml:space="preserve"> </w:t>
      </w:r>
      <w:proofErr w:type="spellStart"/>
      <w:r w:rsidR="00AF6D4F" w:rsidRPr="00614EC6">
        <w:rPr>
          <w:rFonts w:ascii="Times New Roman" w:eastAsia="Times New Roman" w:hAnsi="Times New Roman" w:cs="Times New Roman"/>
          <w:b/>
        </w:rPr>
        <w:t>of</w:t>
      </w:r>
      <w:proofErr w:type="spellEnd"/>
      <w:r w:rsidR="00AF6D4F" w:rsidRPr="00614EC6">
        <w:rPr>
          <w:rFonts w:ascii="Times New Roman" w:eastAsia="Times New Roman" w:hAnsi="Times New Roman" w:cs="Times New Roman"/>
          <w:b/>
        </w:rPr>
        <w:t xml:space="preserve"> Financial </w:t>
      </w:r>
      <w:proofErr w:type="spellStart"/>
      <w:r w:rsidR="00AF6D4F" w:rsidRPr="00614EC6">
        <w:rPr>
          <w:rFonts w:ascii="Times New Roman" w:eastAsia="Times New Roman" w:hAnsi="Times New Roman" w:cs="Times New Roman"/>
          <w:b/>
        </w:rPr>
        <w:t>Economics</w:t>
      </w:r>
      <w:proofErr w:type="spellEnd"/>
      <w:r w:rsidR="000B438F" w:rsidRPr="00614EC6">
        <w:rPr>
          <w:rFonts w:ascii="Times New Roman" w:eastAsia="Times New Roman" w:hAnsi="Times New Roman" w:cs="Times New Roman"/>
          <w:b/>
        </w:rPr>
        <w:t xml:space="preserve">. </w:t>
      </w:r>
      <w:proofErr w:type="spellStart"/>
      <w:r w:rsidR="000B438F" w:rsidRPr="00614EC6">
        <w:rPr>
          <w:rFonts w:ascii="Times New Roman" w:eastAsia="Times New Roman" w:hAnsi="Times New Roman" w:cs="Times New Roman"/>
          <w:b/>
        </w:rPr>
        <w:t>Elsevier</w:t>
      </w:r>
      <w:proofErr w:type="spellEnd"/>
      <w:r w:rsidR="000B438F" w:rsidRPr="00957C2B">
        <w:rPr>
          <w:rFonts w:ascii="Times New Roman" w:eastAsia="Times New Roman" w:hAnsi="Times New Roman" w:cs="Times New Roman"/>
        </w:rPr>
        <w:t xml:space="preserve">, </w:t>
      </w:r>
      <w:r>
        <w:rPr>
          <w:rFonts w:ascii="Times New Roman" w:eastAsia="Times New Roman" w:hAnsi="Times New Roman" w:cs="Times New Roman"/>
        </w:rPr>
        <w:t xml:space="preserve">v. 3, n. 4, p. 305-360, </w:t>
      </w:r>
      <w:r w:rsidR="00AF6D4F" w:rsidRPr="00957C2B">
        <w:rPr>
          <w:rFonts w:ascii="Times New Roman" w:eastAsia="Times New Roman" w:hAnsi="Times New Roman" w:cs="Times New Roman"/>
        </w:rPr>
        <w:t>1976.</w:t>
      </w:r>
    </w:p>
    <w:p w14:paraId="4967AE62" w14:textId="77777777" w:rsidR="00AF0520" w:rsidRPr="00957C2B" w:rsidRDefault="00AF0520" w:rsidP="00AD5592">
      <w:pPr>
        <w:widowControl w:val="0"/>
        <w:pBdr>
          <w:top w:val="nil"/>
          <w:left w:val="nil"/>
          <w:bottom w:val="nil"/>
          <w:right w:val="nil"/>
          <w:between w:val="nil"/>
        </w:pBdr>
        <w:jc w:val="both"/>
        <w:rPr>
          <w:rFonts w:ascii="Times New Roman" w:eastAsia="Times New Roman" w:hAnsi="Times New Roman" w:cs="Times New Roman"/>
          <w:b/>
        </w:rPr>
      </w:pPr>
    </w:p>
    <w:p w14:paraId="58D943ED" w14:textId="2999CD14"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LOUREIRO, M.R.; ABRUCIO, F.L.; PACHECO, R.S. Burocracia </w:t>
      </w:r>
      <w:r w:rsidRPr="00F05EF7">
        <w:rPr>
          <w:rFonts w:ascii="Times New Roman" w:eastAsia="Times New Roman" w:hAnsi="Times New Roman" w:cs="Times New Roman"/>
          <w:b/>
        </w:rPr>
        <w:t>e Política no Brasil: Desafios para a ordem democrática no século XXI</w:t>
      </w:r>
      <w:r w:rsidRPr="00F05EF7">
        <w:rPr>
          <w:rFonts w:ascii="Times New Roman" w:eastAsia="Times New Roman" w:hAnsi="Times New Roman" w:cs="Times New Roman"/>
        </w:rPr>
        <w:t>. Rio de Janeiro: FGV, 2010.</w:t>
      </w:r>
    </w:p>
    <w:p w14:paraId="0C5D4C30"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220FB623" w14:textId="724091B2"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LUNKES, R. J. </w:t>
      </w:r>
      <w:r w:rsidRPr="00F05EF7">
        <w:rPr>
          <w:rFonts w:ascii="Times New Roman" w:eastAsia="Times New Roman" w:hAnsi="Times New Roman" w:cs="Times New Roman"/>
          <w:b/>
        </w:rPr>
        <w:t>Manual de orçamento</w:t>
      </w:r>
      <w:r w:rsidRPr="00F05EF7">
        <w:rPr>
          <w:rFonts w:ascii="Times New Roman" w:eastAsia="Times New Roman" w:hAnsi="Times New Roman" w:cs="Times New Roman"/>
        </w:rPr>
        <w:t>. 2ª ed. São Paulo: Atlas, 2009.</w:t>
      </w:r>
    </w:p>
    <w:p w14:paraId="322245B6" w14:textId="77777777" w:rsidR="00AF0520" w:rsidRPr="00F05EF7"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4FCB2ACA" w14:textId="77777777" w:rsidR="00821527" w:rsidRPr="00957C2B"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lang w:val="en-US"/>
        </w:rPr>
        <w:t xml:space="preserve">MA, H.; </w:t>
      </w:r>
      <w:r w:rsidRPr="00F05EF7">
        <w:rPr>
          <w:rFonts w:ascii="Times New Roman" w:eastAsia="Times New Roman" w:hAnsi="Times New Roman" w:cs="Times New Roman"/>
          <w:i/>
          <w:lang w:val="en-US"/>
        </w:rPr>
        <w:t>et al</w:t>
      </w:r>
      <w:r w:rsidRPr="00F05EF7">
        <w:rPr>
          <w:rFonts w:ascii="Times New Roman" w:eastAsia="Times New Roman" w:hAnsi="Times New Roman" w:cs="Times New Roman"/>
          <w:lang w:val="en-US"/>
        </w:rPr>
        <w:t xml:space="preserve">. The societal governance of megaproject social responsibility. </w:t>
      </w:r>
      <w:r w:rsidRPr="00614EC6">
        <w:rPr>
          <w:rFonts w:ascii="Times New Roman" w:eastAsia="Times New Roman" w:hAnsi="Times New Roman" w:cs="Times New Roman"/>
          <w:b/>
          <w:lang w:val="en-US"/>
        </w:rPr>
        <w:t>International Journal of Project Management</w:t>
      </w:r>
      <w:r w:rsidRPr="00957C2B">
        <w:rPr>
          <w:rFonts w:ascii="Times New Roman" w:eastAsia="Times New Roman" w:hAnsi="Times New Roman" w:cs="Times New Roman"/>
          <w:lang w:val="en-US"/>
        </w:rPr>
        <w:t>, v.</w:t>
      </w:r>
      <w:r w:rsidRPr="00957C2B">
        <w:rPr>
          <w:rFonts w:ascii="Times New Roman" w:eastAsia="Times New Roman" w:hAnsi="Times New Roman" w:cs="Times New Roman"/>
          <w:b/>
          <w:i/>
          <w:lang w:val="en-US"/>
        </w:rPr>
        <w:t xml:space="preserve"> </w:t>
      </w:r>
      <w:r w:rsidRPr="00957C2B">
        <w:rPr>
          <w:rFonts w:ascii="Times New Roman" w:eastAsia="Times New Roman" w:hAnsi="Times New Roman" w:cs="Times New Roman"/>
          <w:lang w:val="en-US"/>
        </w:rPr>
        <w:t>35, p. 1365-1377, 2017.</w:t>
      </w:r>
    </w:p>
    <w:p w14:paraId="11D07D56"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345AB628" w14:textId="67D92E42"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MANDELI, K. N. New public governance in Saudi cities: An empirical assessment of the quality of the municipal system in Jeddah. </w:t>
      </w:r>
      <w:r w:rsidRPr="00614EC6">
        <w:rPr>
          <w:rFonts w:ascii="Times New Roman" w:eastAsia="Times New Roman" w:hAnsi="Times New Roman" w:cs="Times New Roman"/>
          <w:b/>
        </w:rPr>
        <w:t xml:space="preserve">Habitat </w:t>
      </w:r>
      <w:proofErr w:type="spellStart"/>
      <w:r w:rsidRPr="00614EC6">
        <w:rPr>
          <w:rFonts w:ascii="Times New Roman" w:eastAsia="Times New Roman" w:hAnsi="Times New Roman" w:cs="Times New Roman"/>
          <w:b/>
        </w:rPr>
        <w:t>International</w:t>
      </w:r>
      <w:proofErr w:type="spellEnd"/>
      <w:r w:rsidRPr="00F05EF7">
        <w:rPr>
          <w:rFonts w:ascii="Times New Roman" w:eastAsia="Times New Roman" w:hAnsi="Times New Roman" w:cs="Times New Roman"/>
        </w:rPr>
        <w:t>, v. 51, p. 114-123, 2016.</w:t>
      </w:r>
    </w:p>
    <w:p w14:paraId="6ADE5115"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748622B8" w14:textId="0664FA2D" w:rsidR="00460510"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rPr>
        <w:t xml:space="preserve">MARCONI, M. A.; LAKATOS, E. M. </w:t>
      </w:r>
      <w:r w:rsidRPr="00F05EF7">
        <w:rPr>
          <w:rFonts w:ascii="Times New Roman" w:eastAsia="Times New Roman" w:hAnsi="Times New Roman" w:cs="Times New Roman"/>
          <w:b/>
        </w:rPr>
        <w:t>Fundamentos da metodologia científica</w:t>
      </w:r>
      <w:r w:rsidRPr="00F05EF7">
        <w:rPr>
          <w:rFonts w:ascii="Times New Roman" w:eastAsia="Times New Roman" w:hAnsi="Times New Roman" w:cs="Times New Roman"/>
        </w:rPr>
        <w:t xml:space="preserve">. </w:t>
      </w:r>
      <w:r w:rsidRPr="00F05EF7">
        <w:rPr>
          <w:rFonts w:ascii="Times New Roman" w:eastAsia="Times New Roman" w:hAnsi="Times New Roman" w:cs="Times New Roman"/>
          <w:lang w:val="en-US"/>
        </w:rPr>
        <w:t xml:space="preserve">São Paulo: </w:t>
      </w:r>
      <w:proofErr w:type="spellStart"/>
      <w:r w:rsidRPr="00F05EF7">
        <w:rPr>
          <w:rFonts w:ascii="Times New Roman" w:eastAsia="Times New Roman" w:hAnsi="Times New Roman" w:cs="Times New Roman"/>
          <w:lang w:val="en-US"/>
        </w:rPr>
        <w:t>Altas</w:t>
      </w:r>
      <w:proofErr w:type="spellEnd"/>
      <w:r w:rsidRPr="00F05EF7">
        <w:rPr>
          <w:rFonts w:ascii="Times New Roman" w:eastAsia="Times New Roman" w:hAnsi="Times New Roman" w:cs="Times New Roman"/>
          <w:lang w:val="en-US"/>
        </w:rPr>
        <w:t>, 320 p., 2010.</w:t>
      </w:r>
    </w:p>
    <w:p w14:paraId="4E86CB43"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17D46C21" w14:textId="6DD9906E"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MCLOUGHLIN, C. When does service delivery improve the legitimacy of a fragile or conflict-affected state. </w:t>
      </w:r>
      <w:proofErr w:type="spellStart"/>
      <w:r w:rsidRPr="00614EC6">
        <w:rPr>
          <w:rFonts w:ascii="Times New Roman" w:eastAsia="Times New Roman" w:hAnsi="Times New Roman" w:cs="Times New Roman"/>
          <w:b/>
        </w:rPr>
        <w:t>Governance</w:t>
      </w:r>
      <w:proofErr w:type="spellEnd"/>
      <w:r w:rsidRPr="00F05EF7">
        <w:rPr>
          <w:rFonts w:ascii="Times New Roman" w:eastAsia="Times New Roman" w:hAnsi="Times New Roman" w:cs="Times New Roman"/>
        </w:rPr>
        <w:t>, v. 28, n. 3, p. 341-356, 2015.</w:t>
      </w:r>
    </w:p>
    <w:p w14:paraId="7C71C508"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45BD7E47" w14:textId="2430BA8F" w:rsidR="005461AF" w:rsidRPr="00F05EF7" w:rsidRDefault="00614EC6" w:rsidP="00AD5592">
      <w:pPr>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MEIRELLES, H.</w:t>
      </w:r>
      <w:r w:rsidR="005461AF" w:rsidRPr="005461AF">
        <w:rPr>
          <w:rFonts w:ascii="Times New Roman" w:eastAsia="Times New Roman" w:hAnsi="Times New Roman" w:cs="Times New Roman"/>
        </w:rPr>
        <w:t xml:space="preserve"> L. </w:t>
      </w:r>
      <w:r w:rsidR="005461AF" w:rsidRPr="00614EC6">
        <w:rPr>
          <w:rFonts w:ascii="Times New Roman" w:eastAsia="Times New Roman" w:hAnsi="Times New Roman" w:cs="Times New Roman"/>
          <w:b/>
        </w:rPr>
        <w:t>Direito administrativo brasileiro</w:t>
      </w:r>
      <w:r w:rsidR="00687A4D">
        <w:rPr>
          <w:rFonts w:ascii="Times New Roman" w:eastAsia="Times New Roman" w:hAnsi="Times New Roman" w:cs="Times New Roman"/>
        </w:rPr>
        <w:t xml:space="preserve">. 39. ed. São Paulo: Malheiros, </w:t>
      </w:r>
      <w:r w:rsidR="005461AF" w:rsidRPr="005461AF">
        <w:rPr>
          <w:rFonts w:ascii="Times New Roman" w:eastAsia="Times New Roman" w:hAnsi="Times New Roman" w:cs="Times New Roman"/>
        </w:rPr>
        <w:t>2013.</w:t>
      </w:r>
    </w:p>
    <w:p w14:paraId="36881AD6"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2F89E160" w14:textId="1F218A2F" w:rsidR="00821527" w:rsidRPr="00F05EF7" w:rsidRDefault="00682B4E" w:rsidP="00AD5592">
      <w:pPr>
        <w:widowControl w:val="0"/>
        <w:pBdr>
          <w:top w:val="nil"/>
          <w:left w:val="nil"/>
          <w:bottom w:val="nil"/>
          <w:right w:val="nil"/>
          <w:between w:val="nil"/>
        </w:pBdr>
        <w:jc w:val="both"/>
        <w:rPr>
          <w:rFonts w:ascii="Times New Roman" w:eastAsia="Times New Roman" w:hAnsi="Times New Roman" w:cs="Times New Roman"/>
          <w:highlight w:val="white"/>
        </w:rPr>
      </w:pPr>
      <w:r w:rsidRPr="00F05EF7">
        <w:rPr>
          <w:rFonts w:ascii="Times New Roman" w:eastAsia="Times New Roman" w:hAnsi="Times New Roman" w:cs="Times New Roman"/>
        </w:rPr>
        <w:t>MILIONI</w:t>
      </w:r>
      <w:r w:rsidR="0010504B" w:rsidRPr="00F05EF7">
        <w:rPr>
          <w:rFonts w:ascii="Times New Roman" w:eastAsia="Times New Roman" w:hAnsi="Times New Roman" w:cs="Times New Roman"/>
        </w:rPr>
        <w:t xml:space="preserve">, C. K.; BEHR, A.; LOPES, L. J. Análise do processo de elaboração da proposta de </w:t>
      </w:r>
      <w:r w:rsidR="00585119">
        <w:rPr>
          <w:rFonts w:ascii="Times New Roman" w:eastAsia="Times New Roman" w:hAnsi="Times New Roman" w:cs="Times New Roman"/>
        </w:rPr>
        <w:t>Lei Orçamentária</w:t>
      </w:r>
      <w:r w:rsidR="0010504B" w:rsidRPr="00F05EF7">
        <w:rPr>
          <w:rFonts w:ascii="Times New Roman" w:eastAsia="Times New Roman" w:hAnsi="Times New Roman" w:cs="Times New Roman"/>
        </w:rPr>
        <w:t xml:space="preserve"> anual em uma instituição pública federal de ensino superior. </w:t>
      </w:r>
      <w:r w:rsidR="0010504B" w:rsidRPr="00614EC6">
        <w:rPr>
          <w:rFonts w:ascii="Times New Roman" w:eastAsia="Times New Roman" w:hAnsi="Times New Roman" w:cs="Times New Roman"/>
          <w:b/>
          <w:highlight w:val="white"/>
        </w:rPr>
        <w:t>Revista Gestão Universitária na América Latina</w:t>
      </w:r>
      <w:r w:rsidR="0010504B" w:rsidRPr="00F05EF7">
        <w:rPr>
          <w:rFonts w:ascii="Times New Roman" w:eastAsia="Times New Roman" w:hAnsi="Times New Roman" w:cs="Times New Roman"/>
          <w:highlight w:val="white"/>
        </w:rPr>
        <w:t>, v. 5, p. 164-188. 2015.</w:t>
      </w:r>
    </w:p>
    <w:p w14:paraId="5864C34A"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rPr>
      </w:pPr>
      <w:bookmarkStart w:id="22" w:name="_3o7alnk" w:colFirst="0" w:colLast="0"/>
      <w:bookmarkEnd w:id="22"/>
    </w:p>
    <w:p w14:paraId="1A3DDC58" w14:textId="788CD4B9"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OLIVEIRA, A. G.; PISA, B. J. </w:t>
      </w:r>
      <w:proofErr w:type="spellStart"/>
      <w:r w:rsidRPr="00F05EF7">
        <w:rPr>
          <w:rFonts w:ascii="Times New Roman" w:eastAsia="Times New Roman" w:hAnsi="Times New Roman" w:cs="Times New Roman"/>
        </w:rPr>
        <w:t>IGovP</w:t>
      </w:r>
      <w:proofErr w:type="spellEnd"/>
      <w:r w:rsidRPr="00F05EF7">
        <w:rPr>
          <w:rFonts w:ascii="Times New Roman" w:eastAsia="Times New Roman" w:hAnsi="Times New Roman" w:cs="Times New Roman"/>
        </w:rPr>
        <w:t>: índice de avaliação da governança pública -instrumento de planejamento do estado e de controle social pelo cidadão.</w:t>
      </w:r>
      <w:r w:rsidRPr="00F05EF7">
        <w:rPr>
          <w:rFonts w:ascii="Times New Roman" w:eastAsia="Times New Roman" w:hAnsi="Times New Roman" w:cs="Times New Roman"/>
          <w:i/>
        </w:rPr>
        <w:t xml:space="preserve"> </w:t>
      </w:r>
      <w:r w:rsidRPr="00614EC6">
        <w:rPr>
          <w:rFonts w:ascii="Times New Roman" w:eastAsia="Times New Roman" w:hAnsi="Times New Roman" w:cs="Times New Roman"/>
          <w:b/>
        </w:rPr>
        <w:t xml:space="preserve">Revista </w:t>
      </w:r>
      <w:r w:rsidR="00F7582A">
        <w:rPr>
          <w:rFonts w:ascii="Times New Roman" w:eastAsia="Times New Roman" w:hAnsi="Times New Roman" w:cs="Times New Roman"/>
          <w:b/>
        </w:rPr>
        <w:t>Administração Pública</w:t>
      </w:r>
      <w:r w:rsidR="00614EC6">
        <w:rPr>
          <w:rFonts w:ascii="Times New Roman" w:eastAsia="Times New Roman" w:hAnsi="Times New Roman" w:cs="Times New Roman"/>
        </w:rPr>
        <w:t>, v. 49, n. 5</w:t>
      </w:r>
      <w:r w:rsidRPr="00F05EF7">
        <w:rPr>
          <w:rFonts w:ascii="Times New Roman" w:eastAsia="Times New Roman" w:hAnsi="Times New Roman" w:cs="Times New Roman"/>
        </w:rPr>
        <w:t xml:space="preserve">, p.1263-1290, 2015 </w:t>
      </w:r>
    </w:p>
    <w:p w14:paraId="4B04598E"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highlight w:val="white"/>
        </w:rPr>
      </w:pPr>
    </w:p>
    <w:p w14:paraId="523AE5D9" w14:textId="4D6BEE60"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highlight w:val="white"/>
        </w:rPr>
      </w:pPr>
      <w:r w:rsidRPr="00F05EF7">
        <w:rPr>
          <w:rFonts w:ascii="Times New Roman" w:eastAsia="Times New Roman" w:hAnsi="Times New Roman" w:cs="Times New Roman"/>
          <w:highlight w:val="white"/>
        </w:rPr>
        <w:t>OLIVEIRA, B. C; FONTES FILHO, R. J. Problemas de agência no setor público: o papel dos intermediadores da relação entre poder</w:t>
      </w:r>
      <w:r w:rsidR="00614EC6">
        <w:rPr>
          <w:rFonts w:ascii="Times New Roman" w:eastAsia="Times New Roman" w:hAnsi="Times New Roman" w:cs="Times New Roman"/>
          <w:highlight w:val="white"/>
        </w:rPr>
        <w:t xml:space="preserve"> central e unidades executoras. </w:t>
      </w:r>
      <w:r w:rsidR="00614EC6">
        <w:rPr>
          <w:rFonts w:ascii="Times New Roman" w:eastAsia="Times New Roman" w:hAnsi="Times New Roman" w:cs="Times New Roman"/>
          <w:b/>
        </w:rPr>
        <w:t xml:space="preserve">Revista </w:t>
      </w:r>
      <w:r w:rsidR="00F7582A">
        <w:rPr>
          <w:rFonts w:ascii="Times New Roman" w:eastAsia="Times New Roman" w:hAnsi="Times New Roman" w:cs="Times New Roman"/>
          <w:b/>
        </w:rPr>
        <w:t>Administração Pública</w:t>
      </w:r>
      <w:r w:rsidRPr="00F05EF7">
        <w:rPr>
          <w:rFonts w:ascii="Times New Roman" w:eastAsia="Times New Roman" w:hAnsi="Times New Roman" w:cs="Times New Roman"/>
          <w:highlight w:val="white"/>
        </w:rPr>
        <w:t>, v. 51</w:t>
      </w:r>
      <w:r w:rsidR="00614EC6">
        <w:rPr>
          <w:rFonts w:ascii="Times New Roman" w:eastAsia="Times New Roman" w:hAnsi="Times New Roman" w:cs="Times New Roman"/>
          <w:highlight w:val="white"/>
        </w:rPr>
        <w:t>, n. 4</w:t>
      </w:r>
      <w:r w:rsidRPr="00F05EF7">
        <w:rPr>
          <w:rFonts w:ascii="Times New Roman" w:eastAsia="Times New Roman" w:hAnsi="Times New Roman" w:cs="Times New Roman"/>
          <w:highlight w:val="white"/>
        </w:rPr>
        <w:t>, p. 596-615, 2017.</w:t>
      </w:r>
    </w:p>
    <w:p w14:paraId="0D31469F"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107C0575" w14:textId="00EC8830" w:rsidR="00821527" w:rsidRPr="00957C2B"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PADOVEZE, C. L.; TARANTO, F. C. </w:t>
      </w:r>
      <w:r w:rsidRPr="00F05EF7">
        <w:rPr>
          <w:rFonts w:ascii="Times New Roman" w:eastAsia="Times New Roman" w:hAnsi="Times New Roman" w:cs="Times New Roman"/>
          <w:b/>
        </w:rPr>
        <w:t>Orçamento empresarial: novos conceitos e técnicas</w:t>
      </w:r>
      <w:r w:rsidRPr="00F05EF7">
        <w:rPr>
          <w:rFonts w:ascii="Times New Roman" w:eastAsia="Times New Roman" w:hAnsi="Times New Roman" w:cs="Times New Roman"/>
        </w:rPr>
        <w:t xml:space="preserve">. </w:t>
      </w:r>
      <w:r w:rsidRPr="00957C2B">
        <w:rPr>
          <w:rFonts w:ascii="Times New Roman" w:eastAsia="Times New Roman" w:hAnsi="Times New Roman" w:cs="Times New Roman"/>
        </w:rPr>
        <w:t xml:space="preserve">São Paulo: Pearson </w:t>
      </w:r>
      <w:proofErr w:type="spellStart"/>
      <w:r w:rsidRPr="00957C2B">
        <w:rPr>
          <w:rFonts w:ascii="Times New Roman" w:eastAsia="Times New Roman" w:hAnsi="Times New Roman" w:cs="Times New Roman"/>
        </w:rPr>
        <w:t>Education</w:t>
      </w:r>
      <w:proofErr w:type="spellEnd"/>
      <w:r w:rsidRPr="00957C2B">
        <w:rPr>
          <w:rFonts w:ascii="Times New Roman" w:eastAsia="Times New Roman" w:hAnsi="Times New Roman" w:cs="Times New Roman"/>
        </w:rPr>
        <w:t xml:space="preserve"> do Brasil, 2009. </w:t>
      </w:r>
    </w:p>
    <w:p w14:paraId="5CCDFF49"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rPr>
      </w:pPr>
    </w:p>
    <w:p w14:paraId="65166344" w14:textId="366F098C"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rPr>
        <w:t xml:space="preserve">PISCITELLI, R. B.; et al., </w:t>
      </w:r>
      <w:r w:rsidRPr="00F05EF7">
        <w:rPr>
          <w:rFonts w:ascii="Times New Roman" w:eastAsia="Times New Roman" w:hAnsi="Times New Roman" w:cs="Times New Roman"/>
          <w:b/>
        </w:rPr>
        <w:t>Contabilidade pública: uma abordagem financeira pública</w:t>
      </w:r>
      <w:r w:rsidRPr="00F05EF7">
        <w:rPr>
          <w:rFonts w:ascii="Times New Roman" w:eastAsia="Times New Roman" w:hAnsi="Times New Roman" w:cs="Times New Roman"/>
        </w:rPr>
        <w:t xml:space="preserve">. </w:t>
      </w:r>
      <w:r w:rsidRPr="00F05EF7">
        <w:rPr>
          <w:rFonts w:ascii="Times New Roman" w:eastAsia="Times New Roman" w:hAnsi="Times New Roman" w:cs="Times New Roman"/>
          <w:lang w:val="en-US"/>
        </w:rPr>
        <w:t xml:space="preserve">8. ed. São Paulo: Atlas, 2004. </w:t>
      </w:r>
    </w:p>
    <w:p w14:paraId="303982E5" w14:textId="77777777" w:rsidR="00AF0520" w:rsidRDefault="00AF052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26EB0CDC" w14:textId="65C77752"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F05EF7">
        <w:rPr>
          <w:rFonts w:ascii="Times New Roman" w:eastAsia="Times New Roman" w:hAnsi="Times New Roman" w:cs="Times New Roman"/>
          <w:lang w:val="en-US"/>
        </w:rPr>
        <w:t xml:space="preserve">POLLITT, C.; BOUCKAERT, G. </w:t>
      </w:r>
      <w:r w:rsidRPr="00F05EF7">
        <w:rPr>
          <w:rFonts w:ascii="Times New Roman" w:eastAsia="Times New Roman" w:hAnsi="Times New Roman" w:cs="Times New Roman"/>
          <w:b/>
          <w:lang w:val="en-US"/>
        </w:rPr>
        <w:t>Public management reform: A comparative analysis</w:t>
      </w:r>
      <w:r w:rsidR="00614EC6">
        <w:rPr>
          <w:rFonts w:ascii="Times New Roman" w:eastAsia="Times New Roman" w:hAnsi="Times New Roman" w:cs="Times New Roman"/>
          <w:lang w:val="en-US"/>
        </w:rPr>
        <w:t xml:space="preserve"> </w:t>
      </w:r>
      <w:r w:rsidRPr="00F05EF7">
        <w:rPr>
          <w:rFonts w:ascii="Times New Roman" w:eastAsia="Times New Roman" w:hAnsi="Times New Roman" w:cs="Times New Roman"/>
          <w:lang w:val="en-US"/>
        </w:rPr>
        <w:t>(3ed.). Oxford: Oxford University Press, 2011.</w:t>
      </w:r>
    </w:p>
    <w:p w14:paraId="15A4C907" w14:textId="77777777" w:rsidR="008B7F90" w:rsidRDefault="008B7F9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7156465B" w14:textId="420CA59A" w:rsidR="00322AC2" w:rsidRDefault="00322AC2" w:rsidP="00AD5592">
      <w:pPr>
        <w:widowControl w:val="0"/>
        <w:pBdr>
          <w:top w:val="nil"/>
          <w:left w:val="nil"/>
          <w:bottom w:val="nil"/>
          <w:right w:val="nil"/>
          <w:between w:val="nil"/>
        </w:pBdr>
        <w:jc w:val="both"/>
        <w:rPr>
          <w:rFonts w:ascii="Times New Roman" w:eastAsia="Times New Roman" w:hAnsi="Times New Roman" w:cs="Times New Roman"/>
          <w:lang w:val="en-US"/>
        </w:rPr>
      </w:pPr>
      <w:r w:rsidRPr="00322AC2">
        <w:rPr>
          <w:rFonts w:ascii="Times New Roman" w:eastAsia="Times New Roman" w:hAnsi="Times New Roman" w:cs="Times New Roman"/>
          <w:lang w:val="en-US"/>
        </w:rPr>
        <w:t xml:space="preserve">SCAPENS, R. W.; ARNOLD, J. </w:t>
      </w:r>
      <w:r w:rsidRPr="00614EC6">
        <w:rPr>
          <w:rFonts w:ascii="Times New Roman" w:eastAsia="Times New Roman" w:hAnsi="Times New Roman" w:cs="Times New Roman"/>
          <w:b/>
          <w:lang w:val="en-US"/>
        </w:rPr>
        <w:t>Economics and management accounting research</w:t>
      </w:r>
      <w:r w:rsidRPr="00322AC2">
        <w:rPr>
          <w:rFonts w:ascii="Times New Roman" w:eastAsia="Times New Roman" w:hAnsi="Times New Roman" w:cs="Times New Roman"/>
          <w:lang w:val="en-US"/>
        </w:rPr>
        <w:t>. In:</w:t>
      </w:r>
      <w:r>
        <w:rPr>
          <w:rFonts w:ascii="Times New Roman" w:eastAsia="Times New Roman" w:hAnsi="Times New Roman" w:cs="Times New Roman"/>
          <w:lang w:val="en-US"/>
        </w:rPr>
        <w:t xml:space="preserve"> </w:t>
      </w:r>
      <w:r w:rsidRPr="00322AC2">
        <w:rPr>
          <w:rFonts w:ascii="Times New Roman" w:eastAsia="Times New Roman" w:hAnsi="Times New Roman" w:cs="Times New Roman"/>
          <w:lang w:val="en-US"/>
        </w:rPr>
        <w:t>BROMWICH, M.; HOPWOOD, A. G. (edits.). Research and</w:t>
      </w:r>
      <w:r>
        <w:rPr>
          <w:rFonts w:ascii="Times New Roman" w:eastAsia="Times New Roman" w:hAnsi="Times New Roman" w:cs="Times New Roman"/>
          <w:lang w:val="en-US"/>
        </w:rPr>
        <w:t xml:space="preserve"> </w:t>
      </w:r>
      <w:r w:rsidRPr="00322AC2">
        <w:rPr>
          <w:rFonts w:ascii="Times New Roman" w:eastAsia="Times New Roman" w:hAnsi="Times New Roman" w:cs="Times New Roman"/>
          <w:lang w:val="en-US"/>
        </w:rPr>
        <w:t>current issues in management accounting. London: Pitman, 1986. p. 78-102.</w:t>
      </w:r>
    </w:p>
    <w:p w14:paraId="7A39E048" w14:textId="77777777" w:rsidR="008B7F90" w:rsidRPr="00322AC2" w:rsidRDefault="008B7F90" w:rsidP="00AD5592">
      <w:pPr>
        <w:widowControl w:val="0"/>
        <w:pBdr>
          <w:top w:val="nil"/>
          <w:left w:val="nil"/>
          <w:bottom w:val="nil"/>
          <w:right w:val="nil"/>
          <w:between w:val="nil"/>
        </w:pBdr>
        <w:jc w:val="both"/>
        <w:rPr>
          <w:rFonts w:ascii="Times New Roman" w:eastAsia="Times New Roman" w:hAnsi="Times New Roman" w:cs="Times New Roman"/>
          <w:lang w:val="en-US"/>
        </w:rPr>
      </w:pPr>
    </w:p>
    <w:p w14:paraId="3BFD05FB" w14:textId="77777777" w:rsidR="00821527" w:rsidRPr="00957C2B"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lang w:val="en-US"/>
        </w:rPr>
        <w:t xml:space="preserve">SCUPOLA, A.; ZANFEI, A. Governance and innovation in public sector services: The case of the digital library. </w:t>
      </w:r>
      <w:proofErr w:type="spellStart"/>
      <w:r w:rsidRPr="00614EC6">
        <w:rPr>
          <w:rFonts w:ascii="Times New Roman" w:eastAsia="Times New Roman" w:hAnsi="Times New Roman" w:cs="Times New Roman"/>
          <w:b/>
        </w:rPr>
        <w:t>Government</w:t>
      </w:r>
      <w:proofErr w:type="spellEnd"/>
      <w:r w:rsidRPr="00614EC6">
        <w:rPr>
          <w:rFonts w:ascii="Times New Roman" w:eastAsia="Times New Roman" w:hAnsi="Times New Roman" w:cs="Times New Roman"/>
          <w:b/>
        </w:rPr>
        <w:t xml:space="preserve"> </w:t>
      </w:r>
      <w:proofErr w:type="spellStart"/>
      <w:r w:rsidRPr="00614EC6">
        <w:rPr>
          <w:rFonts w:ascii="Times New Roman" w:eastAsia="Times New Roman" w:hAnsi="Times New Roman" w:cs="Times New Roman"/>
          <w:b/>
        </w:rPr>
        <w:t>Information</w:t>
      </w:r>
      <w:proofErr w:type="spellEnd"/>
      <w:r w:rsidRPr="00614EC6">
        <w:rPr>
          <w:rFonts w:ascii="Times New Roman" w:eastAsia="Times New Roman" w:hAnsi="Times New Roman" w:cs="Times New Roman"/>
          <w:b/>
        </w:rPr>
        <w:t xml:space="preserve"> </w:t>
      </w:r>
      <w:proofErr w:type="spellStart"/>
      <w:r w:rsidRPr="00614EC6">
        <w:rPr>
          <w:rFonts w:ascii="Times New Roman" w:eastAsia="Times New Roman" w:hAnsi="Times New Roman" w:cs="Times New Roman"/>
          <w:b/>
        </w:rPr>
        <w:t>Quarterly</w:t>
      </w:r>
      <w:proofErr w:type="spellEnd"/>
      <w:r w:rsidRPr="00957C2B">
        <w:rPr>
          <w:rFonts w:ascii="Times New Roman" w:eastAsia="Times New Roman" w:hAnsi="Times New Roman" w:cs="Times New Roman"/>
        </w:rPr>
        <w:t>, v. 33, p. 237-249, 2016.</w:t>
      </w:r>
    </w:p>
    <w:p w14:paraId="493623A7" w14:textId="77777777" w:rsidR="008B7F90" w:rsidRDefault="008B7F90" w:rsidP="00AD5592">
      <w:pPr>
        <w:widowControl w:val="0"/>
        <w:pBdr>
          <w:top w:val="nil"/>
          <w:left w:val="nil"/>
          <w:bottom w:val="nil"/>
          <w:right w:val="nil"/>
          <w:between w:val="nil"/>
        </w:pBdr>
        <w:jc w:val="both"/>
        <w:rPr>
          <w:rFonts w:ascii="Times New Roman" w:eastAsia="Times New Roman" w:hAnsi="Times New Roman" w:cs="Times New Roman"/>
        </w:rPr>
      </w:pPr>
    </w:p>
    <w:p w14:paraId="74DB30B8" w14:textId="4B8BCBE2" w:rsidR="00821527" w:rsidRPr="00957C2B"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SECCHI, L. Modelos organizacionais e reformas da </w:t>
      </w:r>
      <w:r w:rsidR="00F7582A">
        <w:rPr>
          <w:rFonts w:ascii="Times New Roman" w:eastAsia="Times New Roman" w:hAnsi="Times New Roman" w:cs="Times New Roman"/>
        </w:rPr>
        <w:t>Administração Pública</w:t>
      </w:r>
      <w:r w:rsidRPr="00F05EF7">
        <w:rPr>
          <w:rFonts w:ascii="Times New Roman" w:eastAsia="Times New Roman" w:hAnsi="Times New Roman" w:cs="Times New Roman"/>
        </w:rPr>
        <w:t xml:space="preserve">. </w:t>
      </w:r>
      <w:r w:rsidRPr="00614EC6">
        <w:rPr>
          <w:rFonts w:ascii="Times New Roman" w:eastAsia="Times New Roman" w:hAnsi="Times New Roman" w:cs="Times New Roman"/>
          <w:b/>
        </w:rPr>
        <w:t xml:space="preserve">Revista de </w:t>
      </w:r>
      <w:r w:rsidR="00F7582A">
        <w:rPr>
          <w:rFonts w:ascii="Times New Roman" w:eastAsia="Times New Roman" w:hAnsi="Times New Roman" w:cs="Times New Roman"/>
          <w:b/>
        </w:rPr>
        <w:t>Administração Pública</w:t>
      </w:r>
      <w:r w:rsidR="00614EC6">
        <w:rPr>
          <w:rFonts w:ascii="Times New Roman" w:eastAsia="Times New Roman" w:hAnsi="Times New Roman" w:cs="Times New Roman"/>
        </w:rPr>
        <w:t>, v. 43, n. 2</w:t>
      </w:r>
      <w:r w:rsidRPr="00957C2B">
        <w:rPr>
          <w:rFonts w:ascii="Times New Roman" w:eastAsia="Times New Roman" w:hAnsi="Times New Roman" w:cs="Times New Roman"/>
        </w:rPr>
        <w:t>, p. 347-369, 2009.</w:t>
      </w:r>
    </w:p>
    <w:p w14:paraId="28F3B6F5" w14:textId="77777777" w:rsidR="008B7F90" w:rsidRDefault="008B7F90" w:rsidP="00AD5592">
      <w:pPr>
        <w:widowControl w:val="0"/>
        <w:pBdr>
          <w:top w:val="nil"/>
          <w:left w:val="nil"/>
          <w:bottom w:val="nil"/>
          <w:right w:val="nil"/>
          <w:between w:val="nil"/>
        </w:pBdr>
        <w:jc w:val="both"/>
        <w:rPr>
          <w:rFonts w:ascii="Times New Roman" w:eastAsia="Times New Roman" w:hAnsi="Times New Roman" w:cs="Times New Roman"/>
        </w:rPr>
      </w:pPr>
    </w:p>
    <w:p w14:paraId="5D1BE3A9" w14:textId="3D02A153"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957C2B">
        <w:rPr>
          <w:rFonts w:ascii="Times New Roman" w:eastAsia="Times New Roman" w:hAnsi="Times New Roman" w:cs="Times New Roman"/>
        </w:rPr>
        <w:t xml:space="preserve">SENARATH YAPA, P. W. In </w:t>
      </w:r>
      <w:proofErr w:type="spellStart"/>
      <w:r w:rsidRPr="00957C2B">
        <w:rPr>
          <w:rFonts w:ascii="Times New Roman" w:eastAsia="Times New Roman" w:hAnsi="Times New Roman" w:cs="Times New Roman"/>
        </w:rPr>
        <w:t>whose</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interest</w:t>
      </w:r>
      <w:proofErr w:type="spellEnd"/>
      <w:r w:rsidRPr="00957C2B">
        <w:rPr>
          <w:rFonts w:ascii="Times New Roman" w:eastAsia="Times New Roman" w:hAnsi="Times New Roman" w:cs="Times New Roman"/>
        </w:rPr>
        <w:t xml:space="preserve">? </w:t>
      </w:r>
      <w:r w:rsidRPr="00F05EF7">
        <w:rPr>
          <w:rFonts w:ascii="Times New Roman" w:eastAsia="Times New Roman" w:hAnsi="Times New Roman" w:cs="Times New Roman"/>
          <w:lang w:val="en-US"/>
        </w:rPr>
        <w:t xml:space="preserve">An examination of public sector governance in Brunei Darussalam. </w:t>
      </w:r>
      <w:proofErr w:type="spellStart"/>
      <w:r w:rsidRPr="00614EC6">
        <w:rPr>
          <w:rFonts w:ascii="Times New Roman" w:eastAsia="Times New Roman" w:hAnsi="Times New Roman" w:cs="Times New Roman"/>
          <w:b/>
        </w:rPr>
        <w:t>Critical</w:t>
      </w:r>
      <w:proofErr w:type="spellEnd"/>
      <w:r w:rsidRPr="00614EC6">
        <w:rPr>
          <w:rFonts w:ascii="Times New Roman" w:eastAsia="Times New Roman" w:hAnsi="Times New Roman" w:cs="Times New Roman"/>
          <w:b/>
        </w:rPr>
        <w:t xml:space="preserve"> Perspectives </w:t>
      </w:r>
      <w:proofErr w:type="spellStart"/>
      <w:r w:rsidRPr="00614EC6">
        <w:rPr>
          <w:rFonts w:ascii="Times New Roman" w:eastAsia="Times New Roman" w:hAnsi="Times New Roman" w:cs="Times New Roman"/>
          <w:b/>
        </w:rPr>
        <w:t>on</w:t>
      </w:r>
      <w:proofErr w:type="spellEnd"/>
      <w:r w:rsidRPr="00614EC6">
        <w:rPr>
          <w:rFonts w:ascii="Times New Roman" w:eastAsia="Times New Roman" w:hAnsi="Times New Roman" w:cs="Times New Roman"/>
          <w:b/>
        </w:rPr>
        <w:t xml:space="preserve"> </w:t>
      </w:r>
      <w:proofErr w:type="spellStart"/>
      <w:r w:rsidRPr="00614EC6">
        <w:rPr>
          <w:rFonts w:ascii="Times New Roman" w:eastAsia="Times New Roman" w:hAnsi="Times New Roman" w:cs="Times New Roman"/>
          <w:b/>
        </w:rPr>
        <w:t>Accounting</w:t>
      </w:r>
      <w:proofErr w:type="spellEnd"/>
      <w:r w:rsidRPr="00F05EF7">
        <w:rPr>
          <w:rFonts w:ascii="Times New Roman" w:eastAsia="Times New Roman" w:hAnsi="Times New Roman" w:cs="Times New Roman"/>
        </w:rPr>
        <w:t>, v. 25, p. 803-818, 2014.</w:t>
      </w:r>
    </w:p>
    <w:p w14:paraId="35CACBB4" w14:textId="77777777" w:rsidR="008B7F90" w:rsidRDefault="008B7F90" w:rsidP="00AD5592">
      <w:pPr>
        <w:widowControl w:val="0"/>
        <w:pBdr>
          <w:top w:val="nil"/>
          <w:left w:val="nil"/>
          <w:bottom w:val="nil"/>
          <w:right w:val="nil"/>
          <w:between w:val="nil"/>
        </w:pBdr>
        <w:jc w:val="both"/>
        <w:rPr>
          <w:rFonts w:ascii="Times New Roman" w:eastAsia="Times New Roman" w:hAnsi="Times New Roman" w:cs="Times New Roman"/>
        </w:rPr>
      </w:pPr>
    </w:p>
    <w:p w14:paraId="11F9C488" w14:textId="28BEAB9F"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SERTEK, P.; GUINDANI, R. A.; MARTINS, T. S. </w:t>
      </w:r>
      <w:r w:rsidRPr="00F05EF7">
        <w:rPr>
          <w:rFonts w:ascii="Times New Roman" w:eastAsia="Times New Roman" w:hAnsi="Times New Roman" w:cs="Times New Roman"/>
          <w:b/>
        </w:rPr>
        <w:t>Administração e planejamento estratégico</w:t>
      </w:r>
      <w:r w:rsidRPr="00F05EF7">
        <w:rPr>
          <w:rFonts w:ascii="Times New Roman" w:eastAsia="Times New Roman" w:hAnsi="Times New Roman" w:cs="Times New Roman"/>
        </w:rPr>
        <w:t xml:space="preserve">. 3. ed. Curitiba: </w:t>
      </w:r>
      <w:proofErr w:type="spellStart"/>
      <w:r w:rsidRPr="00F05EF7">
        <w:rPr>
          <w:rFonts w:ascii="Times New Roman" w:eastAsia="Times New Roman" w:hAnsi="Times New Roman" w:cs="Times New Roman"/>
        </w:rPr>
        <w:t>Ibpex</w:t>
      </w:r>
      <w:proofErr w:type="spellEnd"/>
      <w:r w:rsidRPr="00F05EF7">
        <w:rPr>
          <w:rFonts w:ascii="Times New Roman" w:eastAsia="Times New Roman" w:hAnsi="Times New Roman" w:cs="Times New Roman"/>
        </w:rPr>
        <w:t>, 2011.</w:t>
      </w:r>
    </w:p>
    <w:p w14:paraId="48B5ED1A" w14:textId="77777777" w:rsidR="008B7F90" w:rsidRDefault="008B7F90" w:rsidP="00AD5592">
      <w:pPr>
        <w:widowControl w:val="0"/>
        <w:pBdr>
          <w:top w:val="nil"/>
          <w:left w:val="nil"/>
          <w:bottom w:val="nil"/>
          <w:right w:val="nil"/>
          <w:between w:val="nil"/>
        </w:pBdr>
        <w:jc w:val="both"/>
        <w:rPr>
          <w:rFonts w:ascii="Times New Roman" w:eastAsia="Times New Roman" w:hAnsi="Times New Roman" w:cs="Times New Roman"/>
        </w:rPr>
      </w:pPr>
    </w:p>
    <w:p w14:paraId="35F54BBB" w14:textId="68F19BD3"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SILVA, A. C.; CARVALHO, L. O.; MEDEIROS, O. L. </w:t>
      </w:r>
      <w:r w:rsidRPr="00F05EF7">
        <w:rPr>
          <w:rFonts w:ascii="Times New Roman" w:eastAsia="Times New Roman" w:hAnsi="Times New Roman" w:cs="Times New Roman"/>
          <w:b/>
        </w:rPr>
        <w:t xml:space="preserve">Dívida Pública: a experiência brasileira. </w:t>
      </w:r>
      <w:r w:rsidRPr="00F05EF7">
        <w:rPr>
          <w:rFonts w:ascii="Times New Roman" w:eastAsia="Times New Roman" w:hAnsi="Times New Roman" w:cs="Times New Roman"/>
        </w:rPr>
        <w:t>Brasília: Secretaria do Tesouro Nacional: Banco Mundial, 2009.</w:t>
      </w:r>
    </w:p>
    <w:p w14:paraId="17F3E205" w14:textId="77777777" w:rsidR="009A7A3C" w:rsidRPr="00F05EF7" w:rsidRDefault="009A7A3C" w:rsidP="00AD5592">
      <w:pPr>
        <w:widowControl w:val="0"/>
        <w:pBdr>
          <w:top w:val="nil"/>
          <w:left w:val="nil"/>
          <w:bottom w:val="nil"/>
          <w:right w:val="nil"/>
          <w:between w:val="nil"/>
        </w:pBdr>
        <w:jc w:val="both"/>
        <w:rPr>
          <w:rFonts w:ascii="Times New Roman" w:eastAsia="Times New Roman" w:hAnsi="Times New Roman" w:cs="Times New Roman"/>
        </w:rPr>
      </w:pPr>
    </w:p>
    <w:p w14:paraId="734B5829" w14:textId="46D00D5E" w:rsidR="0082152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957C2B">
        <w:rPr>
          <w:rFonts w:ascii="Times New Roman" w:eastAsia="Times New Roman" w:hAnsi="Times New Roman" w:cs="Times New Roman"/>
        </w:rPr>
        <w:t xml:space="preserve">SU, T. D.; BUI, T. M. H. </w:t>
      </w:r>
      <w:proofErr w:type="spellStart"/>
      <w:r w:rsidRPr="00957C2B">
        <w:rPr>
          <w:rFonts w:ascii="Times New Roman" w:eastAsia="Times New Roman" w:hAnsi="Times New Roman" w:cs="Times New Roman"/>
        </w:rPr>
        <w:t>Government</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size</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public</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governance</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and</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private</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investment</w:t>
      </w:r>
      <w:proofErr w:type="spellEnd"/>
      <w:r w:rsidRPr="00957C2B">
        <w:rPr>
          <w:rFonts w:ascii="Times New Roman" w:eastAsia="Times New Roman" w:hAnsi="Times New Roman" w:cs="Times New Roman"/>
        </w:rPr>
        <w:t xml:space="preserve">: The case </w:t>
      </w:r>
      <w:proofErr w:type="spellStart"/>
      <w:r w:rsidRPr="00957C2B">
        <w:rPr>
          <w:rFonts w:ascii="Times New Roman" w:eastAsia="Times New Roman" w:hAnsi="Times New Roman" w:cs="Times New Roman"/>
        </w:rPr>
        <w:t>of</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Vietnamese</w:t>
      </w:r>
      <w:proofErr w:type="spellEnd"/>
      <w:r w:rsidRPr="00957C2B">
        <w:rPr>
          <w:rFonts w:ascii="Times New Roman" w:eastAsia="Times New Roman" w:hAnsi="Times New Roman" w:cs="Times New Roman"/>
        </w:rPr>
        <w:t xml:space="preserve"> </w:t>
      </w:r>
      <w:proofErr w:type="spellStart"/>
      <w:r w:rsidRPr="00957C2B">
        <w:rPr>
          <w:rFonts w:ascii="Times New Roman" w:eastAsia="Times New Roman" w:hAnsi="Times New Roman" w:cs="Times New Roman"/>
        </w:rPr>
        <w:t>provinces</w:t>
      </w:r>
      <w:proofErr w:type="spellEnd"/>
      <w:r w:rsidRPr="00957C2B">
        <w:rPr>
          <w:rFonts w:ascii="Times New Roman" w:eastAsia="Times New Roman" w:hAnsi="Times New Roman" w:cs="Times New Roman"/>
        </w:rPr>
        <w:t xml:space="preserve">. </w:t>
      </w:r>
      <w:proofErr w:type="spellStart"/>
      <w:r w:rsidRPr="00F05EF7">
        <w:rPr>
          <w:rFonts w:ascii="Times New Roman" w:eastAsia="Times New Roman" w:hAnsi="Times New Roman" w:cs="Times New Roman"/>
          <w:b/>
        </w:rPr>
        <w:t>Economic</w:t>
      </w:r>
      <w:proofErr w:type="spellEnd"/>
      <w:r w:rsidRPr="00F05EF7">
        <w:rPr>
          <w:rFonts w:ascii="Times New Roman" w:eastAsia="Times New Roman" w:hAnsi="Times New Roman" w:cs="Times New Roman"/>
          <w:b/>
        </w:rPr>
        <w:t xml:space="preserve"> Systems</w:t>
      </w:r>
      <w:r w:rsidRPr="00F05EF7">
        <w:rPr>
          <w:rFonts w:ascii="Times New Roman" w:eastAsia="Times New Roman" w:hAnsi="Times New Roman" w:cs="Times New Roman"/>
        </w:rPr>
        <w:t>, v. 41, n. 4, p. 651–666, 2017.</w:t>
      </w:r>
    </w:p>
    <w:p w14:paraId="369DBCF5" w14:textId="77777777" w:rsidR="009A7A3C" w:rsidRPr="00F05EF7" w:rsidRDefault="009A7A3C" w:rsidP="00AD5592">
      <w:pPr>
        <w:widowControl w:val="0"/>
        <w:pBdr>
          <w:top w:val="nil"/>
          <w:left w:val="nil"/>
          <w:bottom w:val="nil"/>
          <w:right w:val="nil"/>
          <w:between w:val="nil"/>
        </w:pBdr>
        <w:jc w:val="both"/>
        <w:rPr>
          <w:rFonts w:ascii="Times New Roman" w:eastAsia="Times New Roman" w:hAnsi="Times New Roman" w:cs="Times New Roman"/>
        </w:rPr>
      </w:pPr>
    </w:p>
    <w:p w14:paraId="2C821FB9" w14:textId="77777777" w:rsidR="00821527" w:rsidRPr="00F05EF7"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 xml:space="preserve">TOLBERT, P. S., ZUCKER, L. G. </w:t>
      </w:r>
      <w:proofErr w:type="spellStart"/>
      <w:r w:rsidRPr="00F05EF7">
        <w:rPr>
          <w:rFonts w:ascii="Times New Roman" w:eastAsia="Times New Roman" w:hAnsi="Times New Roman" w:cs="Times New Roman"/>
          <w:b/>
        </w:rPr>
        <w:t>Handbook</w:t>
      </w:r>
      <w:proofErr w:type="spellEnd"/>
      <w:r w:rsidRPr="00F05EF7">
        <w:rPr>
          <w:rFonts w:ascii="Times New Roman" w:eastAsia="Times New Roman" w:hAnsi="Times New Roman" w:cs="Times New Roman"/>
          <w:b/>
        </w:rPr>
        <w:t xml:space="preserve"> de estudos organizacionais: modelos de análise e novas questões em estudos organizacionais</w:t>
      </w:r>
      <w:r w:rsidRPr="00F05EF7">
        <w:rPr>
          <w:rFonts w:ascii="Times New Roman" w:eastAsia="Times New Roman" w:hAnsi="Times New Roman" w:cs="Times New Roman"/>
        </w:rPr>
        <w:t xml:space="preserve">. São Paulo: Atlas, 1998.  </w:t>
      </w:r>
    </w:p>
    <w:p w14:paraId="6B010249" w14:textId="12F0D431" w:rsidR="005461AF" w:rsidRPr="00F9587A" w:rsidRDefault="0010504B" w:rsidP="00AD5592">
      <w:pPr>
        <w:widowControl w:val="0"/>
        <w:pBdr>
          <w:top w:val="nil"/>
          <w:left w:val="nil"/>
          <w:bottom w:val="nil"/>
          <w:right w:val="nil"/>
          <w:between w:val="nil"/>
        </w:pBdr>
        <w:jc w:val="both"/>
        <w:rPr>
          <w:rFonts w:ascii="Times New Roman" w:eastAsia="Times New Roman" w:hAnsi="Times New Roman" w:cs="Times New Roman"/>
        </w:rPr>
      </w:pPr>
      <w:r w:rsidRPr="00F05EF7">
        <w:rPr>
          <w:rFonts w:ascii="Times New Roman" w:eastAsia="Times New Roman" w:hAnsi="Times New Roman" w:cs="Times New Roman"/>
        </w:rPr>
        <w:t>WELSCH, G. A. Orçamento empresarial. 4. ed. São Paulo: Atlas, 2015.</w:t>
      </w:r>
    </w:p>
    <w:sectPr w:rsidR="005461AF" w:rsidRPr="00F9587A" w:rsidSect="009A65E7">
      <w:headerReference w:type="default" r:id="rId8"/>
      <w:footerReference w:type="default" r:id="rId9"/>
      <w:headerReference w:type="first" r:id="rId10"/>
      <w:footerReference w:type="first" r:id="rId11"/>
      <w:pgSz w:w="11906" w:h="16838"/>
      <w:pgMar w:top="1701" w:right="1134" w:bottom="1134" w:left="170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B5E34" w14:textId="77777777" w:rsidR="00BE452F" w:rsidRDefault="00BE452F" w:rsidP="00C057A5">
      <w:r>
        <w:separator/>
      </w:r>
    </w:p>
  </w:endnote>
  <w:endnote w:type="continuationSeparator" w:id="0">
    <w:p w14:paraId="4FDC59D9" w14:textId="77777777" w:rsidR="00BE452F" w:rsidRDefault="00BE452F" w:rsidP="00C0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4178" w14:textId="77777777" w:rsidR="00F7582A" w:rsidRPr="009A65E7" w:rsidRDefault="00F7582A" w:rsidP="00723603">
    <w:pPr>
      <w:pStyle w:val="Rodap"/>
      <w:rPr>
        <w:rFonts w:ascii="Times New Roman" w:hAnsi="Times New Roman" w:cs="Times New Roman"/>
        <w:i/>
      </w:rPr>
    </w:pPr>
    <w:r w:rsidRPr="009A65E7">
      <w:rPr>
        <w:rFonts w:ascii="Times New Roman" w:hAnsi="Times New Roman" w:cs="Times New Roman"/>
        <w:i/>
        <w:lang w:val="en-US"/>
      </w:rPr>
      <w:t>G</w:t>
    </w:r>
    <w:r w:rsidRPr="009A65E7">
      <w:rPr>
        <w:rFonts w:ascii="Times New Roman" w:hAnsi="Times New Roman" w:cs="Times New Roman"/>
        <w:i/>
      </w:rPr>
      <w:t>ϵ</w:t>
    </w:r>
    <w:proofErr w:type="spellStart"/>
    <w:r w:rsidRPr="009A65E7">
      <w:rPr>
        <w:rFonts w:ascii="Times New Roman" w:hAnsi="Times New Roman" w:cs="Times New Roman"/>
        <w:i/>
        <w:lang w:val="en-US"/>
      </w:rPr>
      <w:t>Cont</w:t>
    </w:r>
    <w:proofErr w:type="spellEnd"/>
    <w:r w:rsidRPr="009A65E7">
      <w:rPr>
        <w:rFonts w:ascii="Times New Roman" w:hAnsi="Times New Roman" w:cs="Times New Roman"/>
        <w:i/>
        <w:lang w:val="en-US"/>
      </w:rPr>
      <w:t xml:space="preserve">, v. 7, n. 1, </w:t>
    </w:r>
    <w:proofErr w:type="spellStart"/>
    <w:r w:rsidRPr="009A65E7">
      <w:rPr>
        <w:rFonts w:ascii="Times New Roman" w:hAnsi="Times New Roman" w:cs="Times New Roman"/>
        <w:i/>
        <w:lang w:val="en-US"/>
      </w:rPr>
      <w:t>Floriano</w:t>
    </w:r>
    <w:proofErr w:type="spellEnd"/>
    <w:r w:rsidRPr="009A65E7">
      <w:rPr>
        <w:rFonts w:ascii="Times New Roman" w:hAnsi="Times New Roman" w:cs="Times New Roman"/>
        <w:i/>
        <w:lang w:val="en-US"/>
      </w:rPr>
      <w:t xml:space="preserve">-PI, Jan-Jun. </w:t>
    </w:r>
    <w:r w:rsidRPr="009A65E7">
      <w:rPr>
        <w:rFonts w:ascii="Times New Roman" w:hAnsi="Times New Roman" w:cs="Times New Roman"/>
        <w:i/>
      </w:rPr>
      <w:t>2020.</w:t>
    </w:r>
  </w:p>
  <w:p w14:paraId="328D1AB5" w14:textId="6A4672B5" w:rsidR="00F7582A" w:rsidRDefault="00F7582A">
    <w:pPr>
      <w:pStyle w:val="Rodap"/>
      <w:rPr>
        <w:i/>
      </w:rPr>
    </w:pPr>
  </w:p>
  <w:p w14:paraId="2BAB8B9B" w14:textId="77777777" w:rsidR="00F7582A" w:rsidRPr="000368DE" w:rsidRDefault="00F7582A">
    <w:pPr>
      <w:pStyle w:val="Rodap"/>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2C41" w14:textId="1EA5094F" w:rsidR="00F7582A" w:rsidRDefault="00F7582A" w:rsidP="000368DE">
    <w:pPr>
      <w:pStyle w:val="Rodap"/>
      <w:rPr>
        <w:i/>
      </w:rPr>
    </w:pPr>
    <w:r w:rsidRPr="005568DD">
      <w:rPr>
        <w:i/>
        <w:lang w:val="en-US"/>
      </w:rPr>
      <w:t>G</w:t>
    </w:r>
    <w:r w:rsidRPr="00980FEA">
      <w:rPr>
        <w:i/>
      </w:rPr>
      <w:t>ϵ</w:t>
    </w:r>
    <w:proofErr w:type="spellStart"/>
    <w:r w:rsidRPr="005568DD">
      <w:rPr>
        <w:i/>
        <w:lang w:val="en-US"/>
      </w:rPr>
      <w:t>Cont</w:t>
    </w:r>
    <w:proofErr w:type="spellEnd"/>
    <w:r w:rsidRPr="005568DD">
      <w:rPr>
        <w:i/>
        <w:lang w:val="en-US"/>
      </w:rPr>
      <w:t>, v.</w:t>
    </w:r>
    <w:r>
      <w:rPr>
        <w:i/>
        <w:lang w:val="en-US"/>
      </w:rPr>
      <w:t xml:space="preserve"> 7</w:t>
    </w:r>
    <w:r w:rsidRPr="005568DD">
      <w:rPr>
        <w:i/>
        <w:lang w:val="en-US"/>
      </w:rPr>
      <w:t xml:space="preserve">, n. 1, </w:t>
    </w:r>
    <w:proofErr w:type="spellStart"/>
    <w:r w:rsidRPr="005568DD">
      <w:rPr>
        <w:i/>
        <w:lang w:val="en-US"/>
      </w:rPr>
      <w:t>Floriano</w:t>
    </w:r>
    <w:proofErr w:type="spellEnd"/>
    <w:r w:rsidRPr="005568DD">
      <w:rPr>
        <w:i/>
        <w:lang w:val="en-US"/>
      </w:rPr>
      <w:t xml:space="preserve">-PI, </w:t>
    </w:r>
    <w:r>
      <w:rPr>
        <w:i/>
        <w:lang w:val="en-US"/>
      </w:rPr>
      <w:t>Jan-Jun</w:t>
    </w:r>
    <w:r w:rsidRPr="005568DD">
      <w:rPr>
        <w:i/>
        <w:lang w:val="en-US"/>
      </w:rPr>
      <w:t xml:space="preserve">. </w:t>
    </w:r>
    <w:r>
      <w:rPr>
        <w:i/>
      </w:rPr>
      <w:t>2020</w:t>
    </w:r>
    <w:r w:rsidRPr="00980FEA">
      <w:rPr>
        <w:i/>
      </w:rPr>
      <w:t>.</w:t>
    </w:r>
  </w:p>
  <w:p w14:paraId="1253CAD7" w14:textId="7377DFBA" w:rsidR="00F7582A" w:rsidRDefault="00F7582A">
    <w:pPr>
      <w:pStyle w:val="Rodap"/>
    </w:pPr>
  </w:p>
  <w:p w14:paraId="2D6E50A9" w14:textId="77777777" w:rsidR="00F7582A" w:rsidRDefault="00F7582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2D34" w14:textId="77777777" w:rsidR="00BE452F" w:rsidRDefault="00BE452F" w:rsidP="00C057A5">
      <w:r>
        <w:separator/>
      </w:r>
    </w:p>
  </w:footnote>
  <w:footnote w:type="continuationSeparator" w:id="0">
    <w:p w14:paraId="306873FD" w14:textId="77777777" w:rsidR="00BE452F" w:rsidRDefault="00BE452F" w:rsidP="00C057A5">
      <w:r>
        <w:continuationSeparator/>
      </w:r>
    </w:p>
  </w:footnote>
  <w:footnote w:id="1">
    <w:p w14:paraId="2BA36D2C" w14:textId="676A98F0" w:rsidR="00F7582A" w:rsidRDefault="00F7582A">
      <w:pPr>
        <w:pStyle w:val="Textodenotaderodap"/>
      </w:pPr>
      <w:r>
        <w:rPr>
          <w:rStyle w:val="Refdenotaderodap"/>
        </w:rPr>
        <w:footnoteRef/>
      </w:r>
      <w:r>
        <w:t xml:space="preserve"> Artigo submetido em 23/04/2020, </w:t>
      </w:r>
      <w:r w:rsidRPr="003A7220">
        <w:t>revisado em</w:t>
      </w:r>
      <w:r>
        <w:t xml:space="preserve"> 26/06/2020 e</w:t>
      </w:r>
      <w:r w:rsidRPr="003C0B1D">
        <w:t xml:space="preserve"> divulgado em </w:t>
      </w:r>
      <w:r>
        <w:t>28</w:t>
      </w:r>
      <w:r w:rsidRPr="003C0B1D">
        <w:t>/</w:t>
      </w:r>
      <w:r>
        <w:t>12</w:t>
      </w:r>
      <w:r w:rsidRPr="003C0B1D">
        <w:t>/2</w:t>
      </w:r>
      <w:r>
        <w:t xml:space="preserve">020 pelo Editor Rodrigo Santos de Melo, após </w:t>
      </w:r>
      <w:proofErr w:type="spellStart"/>
      <w:r w:rsidRPr="003C0B1D">
        <w:rPr>
          <w:i/>
        </w:rPr>
        <w:t>double</w:t>
      </w:r>
      <w:proofErr w:type="spellEnd"/>
      <w:r w:rsidRPr="003C0B1D">
        <w:rPr>
          <w:i/>
        </w:rPr>
        <w:t xml:space="preserve"> </w:t>
      </w:r>
      <w:proofErr w:type="spellStart"/>
      <w:r w:rsidRPr="003C0B1D">
        <w:rPr>
          <w:i/>
        </w:rPr>
        <w:t>blind</w:t>
      </w:r>
      <w:proofErr w:type="spellEnd"/>
      <w:r w:rsidRPr="003C0B1D">
        <w:rPr>
          <w:i/>
        </w:rPr>
        <w:t xml:space="preserve"> </w:t>
      </w:r>
      <w:proofErr w:type="spellStart"/>
      <w:r w:rsidRPr="003C0B1D">
        <w:rPr>
          <w:i/>
        </w:rPr>
        <w:t>review</w:t>
      </w:r>
      <w:proofErr w:type="spellEnd"/>
      <w:r w:rsidRPr="003C0B1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5164" w14:textId="77777777" w:rsidR="00F7582A" w:rsidRDefault="00F7582A" w:rsidP="009A65E7">
    <w:pPr>
      <w:pStyle w:val="Cabealho"/>
    </w:pPr>
  </w:p>
  <w:p w14:paraId="439A65EC" w14:textId="77777777" w:rsidR="00F7582A" w:rsidRDefault="00F7582A" w:rsidP="009A65E7">
    <w:pPr>
      <w:pStyle w:val="Cabealho"/>
    </w:pPr>
  </w:p>
  <w:p w14:paraId="20443E51" w14:textId="543C636D" w:rsidR="00F7582A" w:rsidRDefault="00F7582A" w:rsidP="009A65E7">
    <w:pPr>
      <w:pStyle w:val="Cabealho"/>
    </w:pPr>
    <w:r>
      <w:fldChar w:fldCharType="begin"/>
    </w:r>
    <w:r>
      <w:instrText>PAGE   \* MERGEFORMAT</w:instrText>
    </w:r>
    <w:r>
      <w:fldChar w:fldCharType="separate"/>
    </w:r>
    <w:r w:rsidR="006026C8">
      <w:rPr>
        <w:noProof/>
      </w:rPr>
      <w:t>21</w:t>
    </w:r>
    <w:r>
      <w:fldChar w:fldCharType="end"/>
    </w:r>
    <w:r>
      <w:t xml:space="preserve">                                                                                             Mathias, Pinto e Oliveira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552C" w14:textId="77777777" w:rsidR="00F7582A" w:rsidRDefault="00F7582A" w:rsidP="009A65E7">
    <w:pPr>
      <w:pStyle w:val="Cabealho"/>
      <w:jc w:val="right"/>
      <w:rPr>
        <w:rFonts w:ascii="Times New Roman" w:hAnsi="Times New Roman" w:cs="Times New Roman"/>
        <w:i/>
      </w:rPr>
    </w:pPr>
  </w:p>
  <w:p w14:paraId="21FA8C2C" w14:textId="77777777" w:rsidR="00F7582A" w:rsidRDefault="00F7582A" w:rsidP="009A65E7">
    <w:pPr>
      <w:pStyle w:val="Cabealho"/>
      <w:jc w:val="right"/>
      <w:rPr>
        <w:rFonts w:ascii="Times New Roman" w:hAnsi="Times New Roman" w:cs="Times New Roman"/>
        <w:i/>
      </w:rPr>
    </w:pPr>
  </w:p>
  <w:p w14:paraId="2B222F30" w14:textId="6945487B" w:rsidR="00F7582A" w:rsidRPr="009A65E7" w:rsidRDefault="00F7582A" w:rsidP="009A65E7">
    <w:pPr>
      <w:pStyle w:val="Cabealho"/>
      <w:jc w:val="right"/>
      <w:rPr>
        <w:i/>
      </w:rPr>
    </w:pPr>
    <w:r>
      <w:rPr>
        <w:noProof/>
      </w:rPr>
      <w:drawing>
        <wp:anchor distT="0" distB="0" distL="114300" distR="114300" simplePos="0" relativeHeight="251658240" behindDoc="1" locked="0" layoutInCell="1" allowOverlap="1" wp14:anchorId="69A3A330" wp14:editId="2A061588">
          <wp:simplePos x="0" y="0"/>
          <wp:positionH relativeFrom="column">
            <wp:posOffset>-137160</wp:posOffset>
          </wp:positionH>
          <wp:positionV relativeFrom="paragraph">
            <wp:posOffset>-113030</wp:posOffset>
          </wp:positionV>
          <wp:extent cx="2381250" cy="676275"/>
          <wp:effectExtent l="19050" t="0" r="0" b="0"/>
          <wp:wrapNone/>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a:stretch>
                    <a:fillRect/>
                  </a:stretch>
                </pic:blipFill>
                <pic:spPr bwMode="auto">
                  <a:xfrm>
                    <a:off x="0" y="0"/>
                    <a:ext cx="2381250" cy="676275"/>
                  </a:xfrm>
                  <a:prstGeom prst="rect">
                    <a:avLst/>
                  </a:prstGeom>
                  <a:noFill/>
                  <a:ln w="9525">
                    <a:noFill/>
                    <a:miter lim="800000"/>
                    <a:headEnd/>
                    <a:tailEnd/>
                  </a:ln>
                </pic:spPr>
              </pic:pic>
            </a:graphicData>
          </a:graphic>
        </wp:anchor>
      </w:drawing>
    </w:r>
    <w:r w:rsidRPr="00723603">
      <w:rPr>
        <w:rFonts w:ascii="Times New Roman" w:hAnsi="Times New Roman" w:cs="Times New Roman"/>
        <w:i/>
      </w:rPr>
      <w:t xml:space="preserve"> v. 7, n. 1</w:t>
    </w:r>
  </w:p>
  <w:p w14:paraId="5978FDD5" w14:textId="1A0DBF18" w:rsidR="00F7582A" w:rsidRPr="00723603" w:rsidRDefault="00F7582A" w:rsidP="008B7F90">
    <w:pPr>
      <w:pStyle w:val="Cabealho"/>
      <w:jc w:val="right"/>
      <w:rPr>
        <w:rFonts w:ascii="Times New Roman" w:hAnsi="Times New Roman" w:cs="Times New Roman"/>
        <w:i/>
      </w:rPr>
    </w:pPr>
    <w:r w:rsidRPr="00723603">
      <w:rPr>
        <w:rFonts w:ascii="Times New Roman" w:hAnsi="Times New Roman" w:cs="Times New Roman"/>
        <w:i/>
      </w:rPr>
      <w:t>Floriano-PI, Jan - Jun. 2020</w:t>
    </w:r>
  </w:p>
  <w:p w14:paraId="09366A06" w14:textId="0035787B" w:rsidR="00F7582A" w:rsidRPr="00723603" w:rsidRDefault="00F7582A" w:rsidP="008B7F90">
    <w:pPr>
      <w:pStyle w:val="Cabealho"/>
      <w:jc w:val="right"/>
      <w:rPr>
        <w:rFonts w:ascii="Times New Roman" w:hAnsi="Times New Roman" w:cs="Times New Roman"/>
      </w:rPr>
    </w:pPr>
    <w:r w:rsidRPr="00723603">
      <w:rPr>
        <w:rFonts w:ascii="Times New Roman" w:hAnsi="Times New Roman" w:cs="Times New Roman"/>
        <w:i/>
      </w:rPr>
      <w:t>p.</w:t>
    </w:r>
    <w:r>
      <w:rPr>
        <w:rFonts w:ascii="Times New Roman" w:hAnsi="Times New Roman" w:cs="Times New Roman"/>
        <w:i/>
      </w:rPr>
      <w:t xml:space="preserve"> 1-22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06AEB6"/>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C985BE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F346D4E"/>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BFA20DE"/>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7D52135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24E83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E632C0"/>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80A8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2C384"/>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92A9546"/>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D6F1F63"/>
    <w:multiLevelType w:val="multilevel"/>
    <w:tmpl w:val="C5A869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27"/>
    <w:rsid w:val="00010736"/>
    <w:rsid w:val="000167DB"/>
    <w:rsid w:val="00023DB3"/>
    <w:rsid w:val="000368DE"/>
    <w:rsid w:val="00050BFE"/>
    <w:rsid w:val="00051C18"/>
    <w:rsid w:val="00066D1C"/>
    <w:rsid w:val="00085ECF"/>
    <w:rsid w:val="0009213C"/>
    <w:rsid w:val="00092F42"/>
    <w:rsid w:val="000A3FCA"/>
    <w:rsid w:val="000A582F"/>
    <w:rsid w:val="000A6C9A"/>
    <w:rsid w:val="000A724C"/>
    <w:rsid w:val="000B438F"/>
    <w:rsid w:val="000B49F3"/>
    <w:rsid w:val="000B6F38"/>
    <w:rsid w:val="000D1836"/>
    <w:rsid w:val="000D44AB"/>
    <w:rsid w:val="000E6AA5"/>
    <w:rsid w:val="000F2AFB"/>
    <w:rsid w:val="000F6572"/>
    <w:rsid w:val="001019C0"/>
    <w:rsid w:val="00101F49"/>
    <w:rsid w:val="0010504B"/>
    <w:rsid w:val="00107836"/>
    <w:rsid w:val="001079E3"/>
    <w:rsid w:val="00123D4E"/>
    <w:rsid w:val="00126926"/>
    <w:rsid w:val="001356D0"/>
    <w:rsid w:val="001377CD"/>
    <w:rsid w:val="001401B5"/>
    <w:rsid w:val="0014465D"/>
    <w:rsid w:val="001526B3"/>
    <w:rsid w:val="00157D28"/>
    <w:rsid w:val="001666EA"/>
    <w:rsid w:val="00182069"/>
    <w:rsid w:val="001932D8"/>
    <w:rsid w:val="00196CD9"/>
    <w:rsid w:val="001A688D"/>
    <w:rsid w:val="001C1A44"/>
    <w:rsid w:val="001C4197"/>
    <w:rsid w:val="001C4655"/>
    <w:rsid w:val="001D5593"/>
    <w:rsid w:val="001D75ED"/>
    <w:rsid w:val="001E2E81"/>
    <w:rsid w:val="002037CD"/>
    <w:rsid w:val="00204E63"/>
    <w:rsid w:val="0021248A"/>
    <w:rsid w:val="00220F81"/>
    <w:rsid w:val="00222BF5"/>
    <w:rsid w:val="002247A5"/>
    <w:rsid w:val="00227AAC"/>
    <w:rsid w:val="00231A15"/>
    <w:rsid w:val="00257641"/>
    <w:rsid w:val="00266CD4"/>
    <w:rsid w:val="002704C7"/>
    <w:rsid w:val="00276891"/>
    <w:rsid w:val="00280FF5"/>
    <w:rsid w:val="00294AD9"/>
    <w:rsid w:val="002A06CE"/>
    <w:rsid w:val="002A451D"/>
    <w:rsid w:val="002B1C4F"/>
    <w:rsid w:val="002D5141"/>
    <w:rsid w:val="002D6A88"/>
    <w:rsid w:val="002D7629"/>
    <w:rsid w:val="00306C10"/>
    <w:rsid w:val="00306C7F"/>
    <w:rsid w:val="00322AC2"/>
    <w:rsid w:val="00343CFC"/>
    <w:rsid w:val="00346CAF"/>
    <w:rsid w:val="00350394"/>
    <w:rsid w:val="0035690B"/>
    <w:rsid w:val="003648B7"/>
    <w:rsid w:val="003701A3"/>
    <w:rsid w:val="003726A1"/>
    <w:rsid w:val="0037424D"/>
    <w:rsid w:val="00382A39"/>
    <w:rsid w:val="00382E90"/>
    <w:rsid w:val="00387D4A"/>
    <w:rsid w:val="003934FA"/>
    <w:rsid w:val="003A6109"/>
    <w:rsid w:val="003B64D2"/>
    <w:rsid w:val="003C6376"/>
    <w:rsid w:val="003C63EB"/>
    <w:rsid w:val="003C7147"/>
    <w:rsid w:val="003D460D"/>
    <w:rsid w:val="003E2CB4"/>
    <w:rsid w:val="00406FDA"/>
    <w:rsid w:val="0041619F"/>
    <w:rsid w:val="00424F02"/>
    <w:rsid w:val="0042528C"/>
    <w:rsid w:val="00427415"/>
    <w:rsid w:val="00436490"/>
    <w:rsid w:val="0044211A"/>
    <w:rsid w:val="00442349"/>
    <w:rsid w:val="0045054A"/>
    <w:rsid w:val="00450789"/>
    <w:rsid w:val="00453BC7"/>
    <w:rsid w:val="00460510"/>
    <w:rsid w:val="00461179"/>
    <w:rsid w:val="00493467"/>
    <w:rsid w:val="004934E0"/>
    <w:rsid w:val="00496620"/>
    <w:rsid w:val="00497911"/>
    <w:rsid w:val="004A2B9E"/>
    <w:rsid w:val="004A6FAB"/>
    <w:rsid w:val="004A77A6"/>
    <w:rsid w:val="004B2A32"/>
    <w:rsid w:val="004C6FB4"/>
    <w:rsid w:val="004D1ACE"/>
    <w:rsid w:val="004D6D8D"/>
    <w:rsid w:val="004F2D3E"/>
    <w:rsid w:val="004F42B1"/>
    <w:rsid w:val="004F4AE5"/>
    <w:rsid w:val="00506B7C"/>
    <w:rsid w:val="00515126"/>
    <w:rsid w:val="005215F1"/>
    <w:rsid w:val="00521C6F"/>
    <w:rsid w:val="00522F4B"/>
    <w:rsid w:val="00532E95"/>
    <w:rsid w:val="0054010D"/>
    <w:rsid w:val="005461AF"/>
    <w:rsid w:val="00546CA7"/>
    <w:rsid w:val="00550D85"/>
    <w:rsid w:val="005510BA"/>
    <w:rsid w:val="00552FF9"/>
    <w:rsid w:val="00560BD0"/>
    <w:rsid w:val="00562B53"/>
    <w:rsid w:val="00571F26"/>
    <w:rsid w:val="0057322D"/>
    <w:rsid w:val="0057746D"/>
    <w:rsid w:val="0058289A"/>
    <w:rsid w:val="00584782"/>
    <w:rsid w:val="00585119"/>
    <w:rsid w:val="0059614C"/>
    <w:rsid w:val="005A122A"/>
    <w:rsid w:val="005A151E"/>
    <w:rsid w:val="005A1C62"/>
    <w:rsid w:val="005A2ACB"/>
    <w:rsid w:val="005A3C96"/>
    <w:rsid w:val="005A46E6"/>
    <w:rsid w:val="005A4BD5"/>
    <w:rsid w:val="005A538A"/>
    <w:rsid w:val="005B1839"/>
    <w:rsid w:val="005B41B2"/>
    <w:rsid w:val="005D1468"/>
    <w:rsid w:val="005D5208"/>
    <w:rsid w:val="005E5A3C"/>
    <w:rsid w:val="005F6095"/>
    <w:rsid w:val="006026C8"/>
    <w:rsid w:val="00604F01"/>
    <w:rsid w:val="00605695"/>
    <w:rsid w:val="00614EC6"/>
    <w:rsid w:val="0063624D"/>
    <w:rsid w:val="00643156"/>
    <w:rsid w:val="006523F4"/>
    <w:rsid w:val="006527BB"/>
    <w:rsid w:val="00657D96"/>
    <w:rsid w:val="00664A28"/>
    <w:rsid w:val="00666009"/>
    <w:rsid w:val="00667D34"/>
    <w:rsid w:val="00676AA1"/>
    <w:rsid w:val="006821A0"/>
    <w:rsid w:val="00682B4E"/>
    <w:rsid w:val="00687A4D"/>
    <w:rsid w:val="00690A0C"/>
    <w:rsid w:val="00691964"/>
    <w:rsid w:val="006A3C84"/>
    <w:rsid w:val="006B7EB4"/>
    <w:rsid w:val="006C1EFF"/>
    <w:rsid w:val="006C21EF"/>
    <w:rsid w:val="006C63E3"/>
    <w:rsid w:val="006C76BF"/>
    <w:rsid w:val="006E1343"/>
    <w:rsid w:val="006E2365"/>
    <w:rsid w:val="006E4AB7"/>
    <w:rsid w:val="006E514D"/>
    <w:rsid w:val="006E6AA9"/>
    <w:rsid w:val="0070037F"/>
    <w:rsid w:val="007140CD"/>
    <w:rsid w:val="00723603"/>
    <w:rsid w:val="00750A94"/>
    <w:rsid w:val="00750D6F"/>
    <w:rsid w:val="007600B2"/>
    <w:rsid w:val="00763F74"/>
    <w:rsid w:val="00766FD0"/>
    <w:rsid w:val="00771FEF"/>
    <w:rsid w:val="007727C6"/>
    <w:rsid w:val="0079247D"/>
    <w:rsid w:val="00793297"/>
    <w:rsid w:val="007A4DB7"/>
    <w:rsid w:val="007A61D2"/>
    <w:rsid w:val="007B2B84"/>
    <w:rsid w:val="007B4655"/>
    <w:rsid w:val="007B496A"/>
    <w:rsid w:val="007D7950"/>
    <w:rsid w:val="007E0C6B"/>
    <w:rsid w:val="00803F7C"/>
    <w:rsid w:val="0081294F"/>
    <w:rsid w:val="00821527"/>
    <w:rsid w:val="00843AD6"/>
    <w:rsid w:val="00844A1B"/>
    <w:rsid w:val="0085272F"/>
    <w:rsid w:val="00854E27"/>
    <w:rsid w:val="0085641A"/>
    <w:rsid w:val="00856D1D"/>
    <w:rsid w:val="00860F03"/>
    <w:rsid w:val="00872A5F"/>
    <w:rsid w:val="008759EB"/>
    <w:rsid w:val="00875C86"/>
    <w:rsid w:val="00876210"/>
    <w:rsid w:val="008777BE"/>
    <w:rsid w:val="008802FC"/>
    <w:rsid w:val="00886BEB"/>
    <w:rsid w:val="00890B18"/>
    <w:rsid w:val="008A1471"/>
    <w:rsid w:val="008A3A44"/>
    <w:rsid w:val="008A5599"/>
    <w:rsid w:val="008A69E4"/>
    <w:rsid w:val="008A7220"/>
    <w:rsid w:val="008B7F90"/>
    <w:rsid w:val="008C6C00"/>
    <w:rsid w:val="008C79E7"/>
    <w:rsid w:val="008D39E2"/>
    <w:rsid w:val="008E4526"/>
    <w:rsid w:val="008E5195"/>
    <w:rsid w:val="008F69B7"/>
    <w:rsid w:val="00901467"/>
    <w:rsid w:val="00924624"/>
    <w:rsid w:val="00926C6E"/>
    <w:rsid w:val="00930D82"/>
    <w:rsid w:val="00957C2B"/>
    <w:rsid w:val="00980B81"/>
    <w:rsid w:val="0099117E"/>
    <w:rsid w:val="009944C6"/>
    <w:rsid w:val="009A2523"/>
    <w:rsid w:val="009A65E7"/>
    <w:rsid w:val="009A7A3C"/>
    <w:rsid w:val="009B0B6A"/>
    <w:rsid w:val="009B1548"/>
    <w:rsid w:val="009C61AF"/>
    <w:rsid w:val="009C65B6"/>
    <w:rsid w:val="009D00AB"/>
    <w:rsid w:val="009D4A38"/>
    <w:rsid w:val="009E6C59"/>
    <w:rsid w:val="00A14ECD"/>
    <w:rsid w:val="00A321A2"/>
    <w:rsid w:val="00A4497F"/>
    <w:rsid w:val="00A5220F"/>
    <w:rsid w:val="00A70904"/>
    <w:rsid w:val="00A70E59"/>
    <w:rsid w:val="00A92692"/>
    <w:rsid w:val="00A92DD8"/>
    <w:rsid w:val="00A97C44"/>
    <w:rsid w:val="00AA126E"/>
    <w:rsid w:val="00AA3E9B"/>
    <w:rsid w:val="00AA7A33"/>
    <w:rsid w:val="00AB7A59"/>
    <w:rsid w:val="00AC2F4E"/>
    <w:rsid w:val="00AC4D11"/>
    <w:rsid w:val="00AC5545"/>
    <w:rsid w:val="00AD4313"/>
    <w:rsid w:val="00AD5592"/>
    <w:rsid w:val="00AF0520"/>
    <w:rsid w:val="00AF2B56"/>
    <w:rsid w:val="00AF6D4F"/>
    <w:rsid w:val="00B04F4C"/>
    <w:rsid w:val="00B231E3"/>
    <w:rsid w:val="00B350BB"/>
    <w:rsid w:val="00B42B26"/>
    <w:rsid w:val="00B4543A"/>
    <w:rsid w:val="00B46652"/>
    <w:rsid w:val="00B527F1"/>
    <w:rsid w:val="00B55947"/>
    <w:rsid w:val="00B563AC"/>
    <w:rsid w:val="00B94377"/>
    <w:rsid w:val="00B95C14"/>
    <w:rsid w:val="00BA7D76"/>
    <w:rsid w:val="00BB3647"/>
    <w:rsid w:val="00BB62DA"/>
    <w:rsid w:val="00BC788E"/>
    <w:rsid w:val="00BD29C1"/>
    <w:rsid w:val="00BE452F"/>
    <w:rsid w:val="00BE5E07"/>
    <w:rsid w:val="00BE6843"/>
    <w:rsid w:val="00BE7ABA"/>
    <w:rsid w:val="00BF3C63"/>
    <w:rsid w:val="00C057A5"/>
    <w:rsid w:val="00C3073A"/>
    <w:rsid w:val="00C45057"/>
    <w:rsid w:val="00C458AA"/>
    <w:rsid w:val="00C47992"/>
    <w:rsid w:val="00C56977"/>
    <w:rsid w:val="00C616FC"/>
    <w:rsid w:val="00C65486"/>
    <w:rsid w:val="00C81EC9"/>
    <w:rsid w:val="00C92FFE"/>
    <w:rsid w:val="00C955CD"/>
    <w:rsid w:val="00CA49FA"/>
    <w:rsid w:val="00CA4A54"/>
    <w:rsid w:val="00CA5DB9"/>
    <w:rsid w:val="00CC1F7C"/>
    <w:rsid w:val="00CD1FAC"/>
    <w:rsid w:val="00CD26EC"/>
    <w:rsid w:val="00CE6F5F"/>
    <w:rsid w:val="00CE7CB6"/>
    <w:rsid w:val="00CF48D5"/>
    <w:rsid w:val="00D03556"/>
    <w:rsid w:val="00D233A0"/>
    <w:rsid w:val="00D31A3D"/>
    <w:rsid w:val="00D31C07"/>
    <w:rsid w:val="00D37790"/>
    <w:rsid w:val="00D448F7"/>
    <w:rsid w:val="00D46E1D"/>
    <w:rsid w:val="00D529B6"/>
    <w:rsid w:val="00D561E8"/>
    <w:rsid w:val="00D67E12"/>
    <w:rsid w:val="00D703C8"/>
    <w:rsid w:val="00D74632"/>
    <w:rsid w:val="00D82F10"/>
    <w:rsid w:val="00D83461"/>
    <w:rsid w:val="00D91CB9"/>
    <w:rsid w:val="00D92C31"/>
    <w:rsid w:val="00D95FB4"/>
    <w:rsid w:val="00DA0812"/>
    <w:rsid w:val="00DB2949"/>
    <w:rsid w:val="00DB78BF"/>
    <w:rsid w:val="00DC538D"/>
    <w:rsid w:val="00DC55E1"/>
    <w:rsid w:val="00DC62B4"/>
    <w:rsid w:val="00DD1166"/>
    <w:rsid w:val="00DD772A"/>
    <w:rsid w:val="00DE0CC0"/>
    <w:rsid w:val="00DF7948"/>
    <w:rsid w:val="00E10D00"/>
    <w:rsid w:val="00E25849"/>
    <w:rsid w:val="00E348D1"/>
    <w:rsid w:val="00E366E0"/>
    <w:rsid w:val="00E4075F"/>
    <w:rsid w:val="00E4270C"/>
    <w:rsid w:val="00E503E8"/>
    <w:rsid w:val="00E53B9F"/>
    <w:rsid w:val="00E620FB"/>
    <w:rsid w:val="00E62728"/>
    <w:rsid w:val="00E64044"/>
    <w:rsid w:val="00E77E23"/>
    <w:rsid w:val="00E8408C"/>
    <w:rsid w:val="00E84D3A"/>
    <w:rsid w:val="00E8716D"/>
    <w:rsid w:val="00E8723C"/>
    <w:rsid w:val="00E87AA8"/>
    <w:rsid w:val="00E926CC"/>
    <w:rsid w:val="00E970E0"/>
    <w:rsid w:val="00EA0228"/>
    <w:rsid w:val="00EA0B32"/>
    <w:rsid w:val="00EA0DF2"/>
    <w:rsid w:val="00EA2167"/>
    <w:rsid w:val="00EA6316"/>
    <w:rsid w:val="00EC1C36"/>
    <w:rsid w:val="00ED50DD"/>
    <w:rsid w:val="00ED5C08"/>
    <w:rsid w:val="00EE7006"/>
    <w:rsid w:val="00EE7052"/>
    <w:rsid w:val="00F00B50"/>
    <w:rsid w:val="00F05EF7"/>
    <w:rsid w:val="00F15181"/>
    <w:rsid w:val="00F153F6"/>
    <w:rsid w:val="00F16B13"/>
    <w:rsid w:val="00F17F9E"/>
    <w:rsid w:val="00F30662"/>
    <w:rsid w:val="00F3123F"/>
    <w:rsid w:val="00F37E37"/>
    <w:rsid w:val="00F52AC1"/>
    <w:rsid w:val="00F57ED4"/>
    <w:rsid w:val="00F606AD"/>
    <w:rsid w:val="00F72E36"/>
    <w:rsid w:val="00F7582A"/>
    <w:rsid w:val="00F8377A"/>
    <w:rsid w:val="00F907CB"/>
    <w:rsid w:val="00F93ED6"/>
    <w:rsid w:val="00F9587A"/>
    <w:rsid w:val="00F96FC5"/>
    <w:rsid w:val="00FA583E"/>
    <w:rsid w:val="00FC18FB"/>
    <w:rsid w:val="00FC4D7B"/>
    <w:rsid w:val="00FC5C99"/>
    <w:rsid w:val="00FD75BC"/>
    <w:rsid w:val="00FE3C0F"/>
    <w:rsid w:val="00FE3F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C6ADE"/>
  <w15:docId w15:val="{A7A8E4DF-87EE-428D-946B-EFBA3885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outlineLvl w:val="0"/>
    </w:pPr>
    <w:rPr>
      <w:b/>
    </w:rPr>
  </w:style>
  <w:style w:type="paragraph" w:styleId="Ttulo2">
    <w:name w:val="heading 2"/>
    <w:basedOn w:val="Normal"/>
    <w:next w:val="Normal"/>
    <w:pPr>
      <w:keepNext/>
      <w:keepLines/>
      <w:outlineLvl w:val="1"/>
    </w:pPr>
  </w:style>
  <w:style w:type="paragraph" w:styleId="Ttulo3">
    <w:name w:val="heading 3"/>
    <w:basedOn w:val="Normal"/>
    <w:next w:val="Normal"/>
    <w:pPr>
      <w:keepNext/>
      <w:keepLines/>
      <w:outlineLvl w:val="2"/>
    </w:pPr>
    <w:rPr>
      <w:b/>
      <w:color w:val="000000"/>
    </w:rPr>
  </w:style>
  <w:style w:type="paragraph" w:styleId="Ttulo4">
    <w:name w:val="heading 4"/>
    <w:basedOn w:val="Normal"/>
    <w:next w:val="Normal"/>
    <w:pPr>
      <w:keepNext/>
      <w:keepLines/>
      <w:spacing w:before="40"/>
      <w:outlineLvl w:val="3"/>
    </w:pPr>
    <w:rPr>
      <w:i/>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2A451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2A451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2A45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Pr>
      <w:color w:val="000000"/>
    </w:rPr>
  </w:style>
  <w:style w:type="paragraph" w:styleId="Subttulo">
    <w:name w:val="Subtitle"/>
    <w:basedOn w:val="Normal"/>
    <w:next w:val="Normal"/>
    <w:pPr>
      <w:spacing w:line="276" w:lineRule="auto"/>
    </w:pPr>
    <w:rPr>
      <w:sz w:val="20"/>
      <w:szCs w:val="2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70E59"/>
    <w:rPr>
      <w:rFonts w:ascii="Tahoma" w:hAnsi="Tahoma" w:cs="Tahoma"/>
      <w:sz w:val="16"/>
      <w:szCs w:val="16"/>
    </w:rPr>
  </w:style>
  <w:style w:type="character" w:customStyle="1" w:styleId="TextodebaloChar">
    <w:name w:val="Texto de balão Char"/>
    <w:basedOn w:val="Fontepargpadro"/>
    <w:link w:val="Textodebalo"/>
    <w:uiPriority w:val="99"/>
    <w:semiHidden/>
    <w:rsid w:val="00A70E59"/>
    <w:rPr>
      <w:rFonts w:ascii="Tahoma" w:hAnsi="Tahoma" w:cs="Tahoma"/>
      <w:sz w:val="16"/>
      <w:szCs w:val="16"/>
    </w:rPr>
  </w:style>
  <w:style w:type="paragraph" w:styleId="Sumrio1">
    <w:name w:val="toc 1"/>
    <w:basedOn w:val="Normal"/>
    <w:next w:val="Normal"/>
    <w:autoRedefine/>
    <w:uiPriority w:val="39"/>
    <w:unhideWhenUsed/>
    <w:rsid w:val="00522F4B"/>
    <w:pPr>
      <w:spacing w:after="100"/>
    </w:pPr>
  </w:style>
  <w:style w:type="paragraph" w:styleId="Sumrio2">
    <w:name w:val="toc 2"/>
    <w:basedOn w:val="Normal"/>
    <w:next w:val="Normal"/>
    <w:autoRedefine/>
    <w:uiPriority w:val="39"/>
    <w:unhideWhenUsed/>
    <w:rsid w:val="00522F4B"/>
    <w:pPr>
      <w:spacing w:after="100"/>
      <w:ind w:left="240"/>
    </w:pPr>
  </w:style>
  <w:style w:type="paragraph" w:styleId="Sumrio3">
    <w:name w:val="toc 3"/>
    <w:basedOn w:val="Normal"/>
    <w:next w:val="Normal"/>
    <w:autoRedefine/>
    <w:uiPriority w:val="39"/>
    <w:unhideWhenUsed/>
    <w:rsid w:val="00522F4B"/>
    <w:pPr>
      <w:spacing w:after="100"/>
      <w:ind w:left="480"/>
    </w:pPr>
  </w:style>
  <w:style w:type="character" w:styleId="Hyperlink">
    <w:name w:val="Hyperlink"/>
    <w:basedOn w:val="Fontepargpadro"/>
    <w:uiPriority w:val="99"/>
    <w:unhideWhenUsed/>
    <w:rsid w:val="00522F4B"/>
    <w:rPr>
      <w:color w:val="0000FF" w:themeColor="hyperlink"/>
      <w:u w:val="single"/>
    </w:rPr>
  </w:style>
  <w:style w:type="paragraph" w:styleId="Assinatura">
    <w:name w:val="Signature"/>
    <w:basedOn w:val="Normal"/>
    <w:link w:val="AssinaturaChar"/>
    <w:uiPriority w:val="99"/>
    <w:semiHidden/>
    <w:unhideWhenUsed/>
    <w:rsid w:val="002A451D"/>
    <w:pPr>
      <w:ind w:left="4252"/>
    </w:pPr>
  </w:style>
  <w:style w:type="character" w:customStyle="1" w:styleId="AssinaturaChar">
    <w:name w:val="Assinatura Char"/>
    <w:basedOn w:val="Fontepargpadro"/>
    <w:link w:val="Assinatura"/>
    <w:uiPriority w:val="99"/>
    <w:semiHidden/>
    <w:rsid w:val="002A451D"/>
  </w:style>
  <w:style w:type="paragraph" w:styleId="AssinaturadeEmail">
    <w:name w:val="E-mail Signature"/>
    <w:basedOn w:val="Normal"/>
    <w:link w:val="AssinaturadeEmailChar"/>
    <w:uiPriority w:val="99"/>
    <w:semiHidden/>
    <w:unhideWhenUsed/>
    <w:rsid w:val="002A451D"/>
  </w:style>
  <w:style w:type="character" w:customStyle="1" w:styleId="AssinaturadeEmailChar">
    <w:name w:val="Assinatura de Email Char"/>
    <w:basedOn w:val="Fontepargpadro"/>
    <w:link w:val="AssinaturadeEmail"/>
    <w:uiPriority w:val="99"/>
    <w:semiHidden/>
    <w:rsid w:val="002A451D"/>
  </w:style>
  <w:style w:type="paragraph" w:styleId="Assuntodocomentrio">
    <w:name w:val="annotation subject"/>
    <w:basedOn w:val="Textodecomentrio"/>
    <w:next w:val="Textodecomentrio"/>
    <w:link w:val="AssuntodocomentrioChar"/>
    <w:uiPriority w:val="99"/>
    <w:semiHidden/>
    <w:unhideWhenUsed/>
    <w:rsid w:val="002A451D"/>
    <w:rPr>
      <w:b/>
      <w:bCs/>
    </w:rPr>
  </w:style>
  <w:style w:type="character" w:customStyle="1" w:styleId="AssuntodocomentrioChar">
    <w:name w:val="Assunto do comentário Char"/>
    <w:basedOn w:val="TextodecomentrioChar"/>
    <w:link w:val="Assuntodocomentrio"/>
    <w:uiPriority w:val="99"/>
    <w:semiHidden/>
    <w:rsid w:val="002A451D"/>
    <w:rPr>
      <w:b/>
      <w:bCs/>
      <w:sz w:val="20"/>
      <w:szCs w:val="20"/>
    </w:rPr>
  </w:style>
  <w:style w:type="paragraph" w:styleId="Bibliografia">
    <w:name w:val="Bibliography"/>
    <w:basedOn w:val="Normal"/>
    <w:next w:val="Normal"/>
    <w:uiPriority w:val="37"/>
    <w:semiHidden/>
    <w:unhideWhenUsed/>
    <w:rsid w:val="002A451D"/>
  </w:style>
  <w:style w:type="paragraph" w:styleId="Cabealho">
    <w:name w:val="header"/>
    <w:basedOn w:val="Normal"/>
    <w:link w:val="CabealhoChar"/>
    <w:uiPriority w:val="99"/>
    <w:unhideWhenUsed/>
    <w:rsid w:val="002A451D"/>
    <w:pPr>
      <w:tabs>
        <w:tab w:val="center" w:pos="4252"/>
        <w:tab w:val="right" w:pos="8504"/>
      </w:tabs>
    </w:pPr>
  </w:style>
  <w:style w:type="character" w:customStyle="1" w:styleId="CabealhoChar">
    <w:name w:val="Cabeçalho Char"/>
    <w:basedOn w:val="Fontepargpadro"/>
    <w:link w:val="Cabealho"/>
    <w:uiPriority w:val="99"/>
    <w:rsid w:val="002A451D"/>
  </w:style>
  <w:style w:type="paragraph" w:styleId="Cabealhodamensagem">
    <w:name w:val="Message Header"/>
    <w:basedOn w:val="Normal"/>
    <w:link w:val="CabealhodamensagemChar"/>
    <w:uiPriority w:val="99"/>
    <w:semiHidden/>
    <w:unhideWhenUsed/>
    <w:rsid w:val="002A451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2A451D"/>
    <w:rPr>
      <w:rFonts w:asciiTheme="majorHAnsi" w:eastAsiaTheme="majorEastAsia" w:hAnsiTheme="majorHAnsi" w:cstheme="majorBidi"/>
      <w:shd w:val="pct20" w:color="auto" w:fill="auto"/>
    </w:rPr>
  </w:style>
  <w:style w:type="paragraph" w:styleId="CabealhodoSumrio">
    <w:name w:val="TOC Heading"/>
    <w:basedOn w:val="Ttulo1"/>
    <w:next w:val="Normal"/>
    <w:uiPriority w:val="39"/>
    <w:semiHidden/>
    <w:unhideWhenUsed/>
    <w:qFormat/>
    <w:rsid w:val="002A451D"/>
    <w:pPr>
      <w:spacing w:before="480"/>
      <w:outlineLvl w:val="9"/>
    </w:pPr>
    <w:rPr>
      <w:rFonts w:asciiTheme="majorHAnsi" w:eastAsiaTheme="majorEastAsia" w:hAnsiTheme="majorHAnsi" w:cstheme="majorBidi"/>
      <w:bCs/>
      <w:color w:val="365F91" w:themeColor="accent1" w:themeShade="BF"/>
      <w:sz w:val="28"/>
      <w:szCs w:val="28"/>
    </w:rPr>
  </w:style>
  <w:style w:type="paragraph" w:styleId="Citao">
    <w:name w:val="Quote"/>
    <w:basedOn w:val="Normal"/>
    <w:next w:val="Normal"/>
    <w:link w:val="CitaoChar"/>
    <w:uiPriority w:val="29"/>
    <w:qFormat/>
    <w:rsid w:val="002A451D"/>
    <w:rPr>
      <w:i/>
      <w:iCs/>
      <w:color w:val="000000" w:themeColor="text1"/>
    </w:rPr>
  </w:style>
  <w:style w:type="character" w:customStyle="1" w:styleId="CitaoChar">
    <w:name w:val="Citação Char"/>
    <w:basedOn w:val="Fontepargpadro"/>
    <w:link w:val="Citao"/>
    <w:uiPriority w:val="29"/>
    <w:rsid w:val="002A451D"/>
    <w:rPr>
      <w:i/>
      <w:iCs/>
      <w:color w:val="000000" w:themeColor="text1"/>
    </w:rPr>
  </w:style>
  <w:style w:type="paragraph" w:styleId="CitaoIntensa">
    <w:name w:val="Intense Quote"/>
    <w:basedOn w:val="Normal"/>
    <w:next w:val="Normal"/>
    <w:link w:val="CitaoIntensaChar"/>
    <w:uiPriority w:val="30"/>
    <w:qFormat/>
    <w:rsid w:val="002A451D"/>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2A451D"/>
    <w:rPr>
      <w:b/>
      <w:bCs/>
      <w:i/>
      <w:iCs/>
      <w:color w:val="4F81BD" w:themeColor="accent1"/>
    </w:rPr>
  </w:style>
  <w:style w:type="paragraph" w:styleId="Commarcadores">
    <w:name w:val="List Bullet"/>
    <w:basedOn w:val="Normal"/>
    <w:uiPriority w:val="99"/>
    <w:semiHidden/>
    <w:unhideWhenUsed/>
    <w:rsid w:val="002A451D"/>
    <w:pPr>
      <w:numPr>
        <w:numId w:val="2"/>
      </w:numPr>
      <w:contextualSpacing/>
    </w:pPr>
  </w:style>
  <w:style w:type="paragraph" w:styleId="Commarcadores2">
    <w:name w:val="List Bullet 2"/>
    <w:basedOn w:val="Normal"/>
    <w:uiPriority w:val="99"/>
    <w:semiHidden/>
    <w:unhideWhenUsed/>
    <w:rsid w:val="002A451D"/>
    <w:pPr>
      <w:numPr>
        <w:numId w:val="3"/>
      </w:numPr>
      <w:contextualSpacing/>
    </w:pPr>
  </w:style>
  <w:style w:type="paragraph" w:styleId="Commarcadores3">
    <w:name w:val="List Bullet 3"/>
    <w:basedOn w:val="Normal"/>
    <w:uiPriority w:val="99"/>
    <w:semiHidden/>
    <w:unhideWhenUsed/>
    <w:rsid w:val="002A451D"/>
    <w:pPr>
      <w:numPr>
        <w:numId w:val="4"/>
      </w:numPr>
      <w:contextualSpacing/>
    </w:pPr>
  </w:style>
  <w:style w:type="paragraph" w:styleId="Commarcadores4">
    <w:name w:val="List Bullet 4"/>
    <w:basedOn w:val="Normal"/>
    <w:uiPriority w:val="99"/>
    <w:semiHidden/>
    <w:unhideWhenUsed/>
    <w:rsid w:val="002A451D"/>
    <w:pPr>
      <w:numPr>
        <w:numId w:val="5"/>
      </w:numPr>
      <w:contextualSpacing/>
    </w:pPr>
  </w:style>
  <w:style w:type="paragraph" w:styleId="Commarcadores5">
    <w:name w:val="List Bullet 5"/>
    <w:basedOn w:val="Normal"/>
    <w:uiPriority w:val="99"/>
    <w:semiHidden/>
    <w:unhideWhenUsed/>
    <w:rsid w:val="002A451D"/>
    <w:pPr>
      <w:numPr>
        <w:numId w:val="6"/>
      </w:numPr>
      <w:contextualSpacing/>
    </w:pPr>
  </w:style>
  <w:style w:type="paragraph" w:styleId="Corpodetexto">
    <w:name w:val="Body Text"/>
    <w:basedOn w:val="Normal"/>
    <w:link w:val="CorpodetextoChar"/>
    <w:uiPriority w:val="99"/>
    <w:semiHidden/>
    <w:unhideWhenUsed/>
    <w:rsid w:val="002A451D"/>
    <w:pPr>
      <w:spacing w:after="120"/>
    </w:pPr>
  </w:style>
  <w:style w:type="character" w:customStyle="1" w:styleId="CorpodetextoChar">
    <w:name w:val="Corpo de texto Char"/>
    <w:basedOn w:val="Fontepargpadro"/>
    <w:link w:val="Corpodetexto"/>
    <w:uiPriority w:val="99"/>
    <w:semiHidden/>
    <w:rsid w:val="002A451D"/>
  </w:style>
  <w:style w:type="paragraph" w:styleId="Corpodetexto2">
    <w:name w:val="Body Text 2"/>
    <w:basedOn w:val="Normal"/>
    <w:link w:val="Corpodetexto2Char"/>
    <w:uiPriority w:val="99"/>
    <w:semiHidden/>
    <w:unhideWhenUsed/>
    <w:rsid w:val="002A451D"/>
    <w:pPr>
      <w:spacing w:after="120" w:line="480" w:lineRule="auto"/>
    </w:pPr>
  </w:style>
  <w:style w:type="character" w:customStyle="1" w:styleId="Corpodetexto2Char">
    <w:name w:val="Corpo de texto 2 Char"/>
    <w:basedOn w:val="Fontepargpadro"/>
    <w:link w:val="Corpodetexto2"/>
    <w:uiPriority w:val="99"/>
    <w:semiHidden/>
    <w:rsid w:val="002A451D"/>
  </w:style>
  <w:style w:type="paragraph" w:styleId="Corpodetexto3">
    <w:name w:val="Body Text 3"/>
    <w:basedOn w:val="Normal"/>
    <w:link w:val="Corpodetexto3Char"/>
    <w:uiPriority w:val="99"/>
    <w:semiHidden/>
    <w:unhideWhenUsed/>
    <w:rsid w:val="002A451D"/>
    <w:pPr>
      <w:spacing w:after="120"/>
    </w:pPr>
    <w:rPr>
      <w:sz w:val="16"/>
      <w:szCs w:val="16"/>
    </w:rPr>
  </w:style>
  <w:style w:type="character" w:customStyle="1" w:styleId="Corpodetexto3Char">
    <w:name w:val="Corpo de texto 3 Char"/>
    <w:basedOn w:val="Fontepargpadro"/>
    <w:link w:val="Corpodetexto3"/>
    <w:uiPriority w:val="99"/>
    <w:semiHidden/>
    <w:rsid w:val="002A451D"/>
    <w:rPr>
      <w:sz w:val="16"/>
      <w:szCs w:val="16"/>
    </w:rPr>
  </w:style>
  <w:style w:type="paragraph" w:styleId="Data">
    <w:name w:val="Date"/>
    <w:basedOn w:val="Normal"/>
    <w:next w:val="Normal"/>
    <w:link w:val="DataChar"/>
    <w:uiPriority w:val="99"/>
    <w:semiHidden/>
    <w:unhideWhenUsed/>
    <w:rsid w:val="002A451D"/>
  </w:style>
  <w:style w:type="character" w:customStyle="1" w:styleId="DataChar">
    <w:name w:val="Data Char"/>
    <w:basedOn w:val="Fontepargpadro"/>
    <w:link w:val="Data"/>
    <w:uiPriority w:val="99"/>
    <w:semiHidden/>
    <w:rsid w:val="002A451D"/>
  </w:style>
  <w:style w:type="paragraph" w:styleId="Destinatrio">
    <w:name w:val="envelope address"/>
    <w:basedOn w:val="Normal"/>
    <w:uiPriority w:val="99"/>
    <w:semiHidden/>
    <w:unhideWhenUsed/>
    <w:rsid w:val="002A451D"/>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2A451D"/>
    <w:pPr>
      <w:ind w:left="4252"/>
    </w:pPr>
  </w:style>
  <w:style w:type="character" w:customStyle="1" w:styleId="EncerramentoChar">
    <w:name w:val="Encerramento Char"/>
    <w:basedOn w:val="Fontepargpadro"/>
    <w:link w:val="Encerramento"/>
    <w:uiPriority w:val="99"/>
    <w:semiHidden/>
    <w:rsid w:val="002A451D"/>
  </w:style>
  <w:style w:type="paragraph" w:styleId="EndereoHTML">
    <w:name w:val="HTML Address"/>
    <w:basedOn w:val="Normal"/>
    <w:link w:val="EndereoHTMLChar"/>
    <w:uiPriority w:val="99"/>
    <w:semiHidden/>
    <w:unhideWhenUsed/>
    <w:rsid w:val="002A451D"/>
    <w:rPr>
      <w:i/>
      <w:iCs/>
    </w:rPr>
  </w:style>
  <w:style w:type="character" w:customStyle="1" w:styleId="EndereoHTMLChar">
    <w:name w:val="Endereço HTML Char"/>
    <w:basedOn w:val="Fontepargpadro"/>
    <w:link w:val="EndereoHTML"/>
    <w:uiPriority w:val="99"/>
    <w:semiHidden/>
    <w:rsid w:val="002A451D"/>
    <w:rPr>
      <w:i/>
      <w:iCs/>
    </w:rPr>
  </w:style>
  <w:style w:type="paragraph" w:styleId="ndicedeautoridades">
    <w:name w:val="table of authorities"/>
    <w:basedOn w:val="Normal"/>
    <w:next w:val="Normal"/>
    <w:uiPriority w:val="99"/>
    <w:semiHidden/>
    <w:unhideWhenUsed/>
    <w:rsid w:val="002A451D"/>
    <w:pPr>
      <w:ind w:left="240" w:hanging="240"/>
    </w:pPr>
  </w:style>
  <w:style w:type="paragraph" w:styleId="ndicedeilustraes">
    <w:name w:val="table of figures"/>
    <w:basedOn w:val="Normal"/>
    <w:next w:val="Normal"/>
    <w:uiPriority w:val="99"/>
    <w:semiHidden/>
    <w:unhideWhenUsed/>
    <w:rsid w:val="002A451D"/>
  </w:style>
  <w:style w:type="paragraph" w:styleId="Legenda">
    <w:name w:val="caption"/>
    <w:basedOn w:val="Normal"/>
    <w:next w:val="Normal"/>
    <w:uiPriority w:val="35"/>
    <w:semiHidden/>
    <w:unhideWhenUsed/>
    <w:qFormat/>
    <w:rsid w:val="002A451D"/>
    <w:pPr>
      <w:spacing w:after="200"/>
    </w:pPr>
    <w:rPr>
      <w:b/>
      <w:bCs/>
      <w:color w:val="4F81BD" w:themeColor="accent1"/>
      <w:sz w:val="18"/>
      <w:szCs w:val="18"/>
    </w:rPr>
  </w:style>
  <w:style w:type="paragraph" w:styleId="Lista">
    <w:name w:val="List"/>
    <w:basedOn w:val="Normal"/>
    <w:uiPriority w:val="99"/>
    <w:semiHidden/>
    <w:unhideWhenUsed/>
    <w:rsid w:val="002A451D"/>
    <w:pPr>
      <w:ind w:left="283" w:hanging="283"/>
      <w:contextualSpacing/>
    </w:pPr>
  </w:style>
  <w:style w:type="paragraph" w:styleId="Lista2">
    <w:name w:val="List 2"/>
    <w:basedOn w:val="Normal"/>
    <w:uiPriority w:val="99"/>
    <w:semiHidden/>
    <w:unhideWhenUsed/>
    <w:rsid w:val="002A451D"/>
    <w:pPr>
      <w:ind w:left="566" w:hanging="283"/>
      <w:contextualSpacing/>
    </w:pPr>
  </w:style>
  <w:style w:type="paragraph" w:styleId="Lista3">
    <w:name w:val="List 3"/>
    <w:basedOn w:val="Normal"/>
    <w:uiPriority w:val="99"/>
    <w:semiHidden/>
    <w:unhideWhenUsed/>
    <w:rsid w:val="002A451D"/>
    <w:pPr>
      <w:ind w:left="849" w:hanging="283"/>
      <w:contextualSpacing/>
    </w:pPr>
  </w:style>
  <w:style w:type="paragraph" w:styleId="Lista4">
    <w:name w:val="List 4"/>
    <w:basedOn w:val="Normal"/>
    <w:uiPriority w:val="99"/>
    <w:semiHidden/>
    <w:unhideWhenUsed/>
    <w:rsid w:val="002A451D"/>
    <w:pPr>
      <w:ind w:left="1132" w:hanging="283"/>
      <w:contextualSpacing/>
    </w:pPr>
  </w:style>
  <w:style w:type="paragraph" w:styleId="Lista5">
    <w:name w:val="List 5"/>
    <w:basedOn w:val="Normal"/>
    <w:uiPriority w:val="99"/>
    <w:semiHidden/>
    <w:unhideWhenUsed/>
    <w:rsid w:val="002A451D"/>
    <w:pPr>
      <w:ind w:left="1415" w:hanging="283"/>
      <w:contextualSpacing/>
    </w:pPr>
  </w:style>
  <w:style w:type="paragraph" w:styleId="Listadecontinuao">
    <w:name w:val="List Continue"/>
    <w:basedOn w:val="Normal"/>
    <w:uiPriority w:val="99"/>
    <w:semiHidden/>
    <w:unhideWhenUsed/>
    <w:rsid w:val="002A451D"/>
    <w:pPr>
      <w:spacing w:after="120"/>
      <w:ind w:left="283"/>
      <w:contextualSpacing/>
    </w:pPr>
  </w:style>
  <w:style w:type="paragraph" w:styleId="Listadecontinuao2">
    <w:name w:val="List Continue 2"/>
    <w:basedOn w:val="Normal"/>
    <w:uiPriority w:val="99"/>
    <w:semiHidden/>
    <w:unhideWhenUsed/>
    <w:rsid w:val="002A451D"/>
    <w:pPr>
      <w:spacing w:after="120"/>
      <w:ind w:left="566"/>
      <w:contextualSpacing/>
    </w:pPr>
  </w:style>
  <w:style w:type="paragraph" w:styleId="Listadecontinuao3">
    <w:name w:val="List Continue 3"/>
    <w:basedOn w:val="Normal"/>
    <w:uiPriority w:val="99"/>
    <w:semiHidden/>
    <w:unhideWhenUsed/>
    <w:rsid w:val="002A451D"/>
    <w:pPr>
      <w:spacing w:after="120"/>
      <w:ind w:left="849"/>
      <w:contextualSpacing/>
    </w:pPr>
  </w:style>
  <w:style w:type="paragraph" w:styleId="Listadecontinuao4">
    <w:name w:val="List Continue 4"/>
    <w:basedOn w:val="Normal"/>
    <w:uiPriority w:val="99"/>
    <w:semiHidden/>
    <w:unhideWhenUsed/>
    <w:rsid w:val="002A451D"/>
    <w:pPr>
      <w:spacing w:after="120"/>
      <w:ind w:left="1132"/>
      <w:contextualSpacing/>
    </w:pPr>
  </w:style>
  <w:style w:type="paragraph" w:styleId="Listadecontinuao5">
    <w:name w:val="List Continue 5"/>
    <w:basedOn w:val="Normal"/>
    <w:uiPriority w:val="99"/>
    <w:semiHidden/>
    <w:unhideWhenUsed/>
    <w:rsid w:val="002A451D"/>
    <w:pPr>
      <w:spacing w:after="120"/>
      <w:ind w:left="1415"/>
      <w:contextualSpacing/>
    </w:pPr>
  </w:style>
  <w:style w:type="paragraph" w:styleId="MapadoDocumento">
    <w:name w:val="Document Map"/>
    <w:basedOn w:val="Normal"/>
    <w:link w:val="MapadoDocumentoChar"/>
    <w:uiPriority w:val="99"/>
    <w:semiHidden/>
    <w:unhideWhenUsed/>
    <w:rsid w:val="002A451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A451D"/>
    <w:rPr>
      <w:rFonts w:ascii="Tahoma" w:hAnsi="Tahoma" w:cs="Tahoma"/>
      <w:sz w:val="16"/>
      <w:szCs w:val="16"/>
    </w:rPr>
  </w:style>
  <w:style w:type="paragraph" w:styleId="NormalWeb">
    <w:name w:val="Normal (Web)"/>
    <w:basedOn w:val="Normal"/>
    <w:uiPriority w:val="99"/>
    <w:semiHidden/>
    <w:unhideWhenUsed/>
    <w:rsid w:val="002A451D"/>
    <w:rPr>
      <w:rFonts w:ascii="Times New Roman" w:hAnsi="Times New Roman" w:cs="Times New Roman"/>
    </w:rPr>
  </w:style>
  <w:style w:type="paragraph" w:styleId="Numerada">
    <w:name w:val="List Number"/>
    <w:basedOn w:val="Normal"/>
    <w:uiPriority w:val="99"/>
    <w:semiHidden/>
    <w:unhideWhenUsed/>
    <w:rsid w:val="002A451D"/>
    <w:pPr>
      <w:numPr>
        <w:numId w:val="7"/>
      </w:numPr>
      <w:contextualSpacing/>
    </w:pPr>
  </w:style>
  <w:style w:type="paragraph" w:styleId="Numerada2">
    <w:name w:val="List Number 2"/>
    <w:basedOn w:val="Normal"/>
    <w:uiPriority w:val="99"/>
    <w:semiHidden/>
    <w:unhideWhenUsed/>
    <w:rsid w:val="002A451D"/>
    <w:pPr>
      <w:numPr>
        <w:numId w:val="8"/>
      </w:numPr>
      <w:contextualSpacing/>
    </w:pPr>
  </w:style>
  <w:style w:type="paragraph" w:styleId="Numerada3">
    <w:name w:val="List Number 3"/>
    <w:basedOn w:val="Normal"/>
    <w:uiPriority w:val="99"/>
    <w:semiHidden/>
    <w:unhideWhenUsed/>
    <w:rsid w:val="002A451D"/>
    <w:pPr>
      <w:numPr>
        <w:numId w:val="9"/>
      </w:numPr>
      <w:contextualSpacing/>
    </w:pPr>
  </w:style>
  <w:style w:type="paragraph" w:styleId="Numerada4">
    <w:name w:val="List Number 4"/>
    <w:basedOn w:val="Normal"/>
    <w:uiPriority w:val="99"/>
    <w:semiHidden/>
    <w:unhideWhenUsed/>
    <w:rsid w:val="002A451D"/>
    <w:pPr>
      <w:numPr>
        <w:numId w:val="10"/>
      </w:numPr>
      <w:contextualSpacing/>
    </w:pPr>
  </w:style>
  <w:style w:type="paragraph" w:styleId="Numerada5">
    <w:name w:val="List Number 5"/>
    <w:basedOn w:val="Normal"/>
    <w:uiPriority w:val="99"/>
    <w:semiHidden/>
    <w:unhideWhenUsed/>
    <w:rsid w:val="002A451D"/>
    <w:pPr>
      <w:numPr>
        <w:numId w:val="11"/>
      </w:numPr>
      <w:contextualSpacing/>
    </w:pPr>
  </w:style>
  <w:style w:type="paragraph" w:styleId="PargrafodaLista">
    <w:name w:val="List Paragraph"/>
    <w:basedOn w:val="Normal"/>
    <w:uiPriority w:val="34"/>
    <w:qFormat/>
    <w:rsid w:val="002A451D"/>
    <w:pPr>
      <w:ind w:left="720"/>
      <w:contextualSpacing/>
    </w:pPr>
  </w:style>
  <w:style w:type="paragraph" w:styleId="Pr-formataoHTML">
    <w:name w:val="HTML Preformatted"/>
    <w:basedOn w:val="Normal"/>
    <w:link w:val="Pr-formataoHTMLChar"/>
    <w:uiPriority w:val="99"/>
    <w:semiHidden/>
    <w:unhideWhenUsed/>
    <w:rsid w:val="002A451D"/>
    <w:rPr>
      <w:rFonts w:ascii="Consolas" w:hAnsi="Consolas"/>
      <w:sz w:val="20"/>
      <w:szCs w:val="20"/>
    </w:rPr>
  </w:style>
  <w:style w:type="character" w:customStyle="1" w:styleId="Pr-formataoHTMLChar">
    <w:name w:val="Pré-formatação HTML Char"/>
    <w:basedOn w:val="Fontepargpadro"/>
    <w:link w:val="Pr-formataoHTML"/>
    <w:uiPriority w:val="99"/>
    <w:semiHidden/>
    <w:rsid w:val="002A451D"/>
    <w:rPr>
      <w:rFonts w:ascii="Consolas" w:hAnsi="Consolas"/>
      <w:sz w:val="20"/>
      <w:szCs w:val="20"/>
    </w:rPr>
  </w:style>
  <w:style w:type="paragraph" w:styleId="Primeirorecuodecorpodetexto">
    <w:name w:val="Body Text First Indent"/>
    <w:basedOn w:val="Corpodetexto"/>
    <w:link w:val="PrimeirorecuodecorpodetextoChar"/>
    <w:uiPriority w:val="99"/>
    <w:semiHidden/>
    <w:unhideWhenUsed/>
    <w:rsid w:val="002A451D"/>
    <w:pPr>
      <w:spacing w:after="0"/>
      <w:ind w:firstLine="360"/>
    </w:pPr>
  </w:style>
  <w:style w:type="character" w:customStyle="1" w:styleId="PrimeirorecuodecorpodetextoChar">
    <w:name w:val="Primeiro recuo de corpo de texto Char"/>
    <w:basedOn w:val="CorpodetextoChar"/>
    <w:link w:val="Primeirorecuodecorpodetexto"/>
    <w:uiPriority w:val="99"/>
    <w:semiHidden/>
    <w:rsid w:val="002A451D"/>
  </w:style>
  <w:style w:type="paragraph" w:styleId="Recuodecorpodetexto">
    <w:name w:val="Body Text Indent"/>
    <w:basedOn w:val="Normal"/>
    <w:link w:val="RecuodecorpodetextoChar"/>
    <w:uiPriority w:val="99"/>
    <w:semiHidden/>
    <w:unhideWhenUsed/>
    <w:rsid w:val="002A451D"/>
    <w:pPr>
      <w:spacing w:after="120"/>
      <w:ind w:left="283"/>
    </w:pPr>
  </w:style>
  <w:style w:type="character" w:customStyle="1" w:styleId="RecuodecorpodetextoChar">
    <w:name w:val="Recuo de corpo de texto Char"/>
    <w:basedOn w:val="Fontepargpadro"/>
    <w:link w:val="Recuodecorpodetexto"/>
    <w:uiPriority w:val="99"/>
    <w:semiHidden/>
    <w:rsid w:val="002A451D"/>
  </w:style>
  <w:style w:type="paragraph" w:styleId="Primeirorecuodecorpodetexto2">
    <w:name w:val="Body Text First Indent 2"/>
    <w:basedOn w:val="Recuodecorpodetexto"/>
    <w:link w:val="Primeirorecuodecorpodetexto2Char"/>
    <w:uiPriority w:val="99"/>
    <w:semiHidden/>
    <w:unhideWhenUsed/>
    <w:rsid w:val="002A451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2A451D"/>
  </w:style>
  <w:style w:type="paragraph" w:styleId="Recuodecorpodetexto2">
    <w:name w:val="Body Text Indent 2"/>
    <w:basedOn w:val="Normal"/>
    <w:link w:val="Recuodecorpodetexto2Char"/>
    <w:uiPriority w:val="99"/>
    <w:semiHidden/>
    <w:unhideWhenUsed/>
    <w:rsid w:val="002A451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A451D"/>
  </w:style>
  <w:style w:type="paragraph" w:styleId="Recuodecorpodetexto3">
    <w:name w:val="Body Text Indent 3"/>
    <w:basedOn w:val="Normal"/>
    <w:link w:val="Recuodecorpodetexto3Char"/>
    <w:uiPriority w:val="99"/>
    <w:semiHidden/>
    <w:unhideWhenUsed/>
    <w:rsid w:val="002A451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A451D"/>
    <w:rPr>
      <w:sz w:val="16"/>
      <w:szCs w:val="16"/>
    </w:rPr>
  </w:style>
  <w:style w:type="paragraph" w:styleId="Recuonormal">
    <w:name w:val="Normal Indent"/>
    <w:basedOn w:val="Normal"/>
    <w:uiPriority w:val="99"/>
    <w:semiHidden/>
    <w:unhideWhenUsed/>
    <w:rsid w:val="002A451D"/>
    <w:pPr>
      <w:ind w:left="708"/>
    </w:pPr>
  </w:style>
  <w:style w:type="paragraph" w:styleId="Remetente">
    <w:name w:val="envelope return"/>
    <w:basedOn w:val="Normal"/>
    <w:uiPriority w:val="99"/>
    <w:semiHidden/>
    <w:unhideWhenUsed/>
    <w:rsid w:val="002A451D"/>
    <w:rPr>
      <w:rFonts w:asciiTheme="majorHAnsi" w:eastAsiaTheme="majorEastAsia" w:hAnsiTheme="majorHAnsi" w:cstheme="majorBidi"/>
      <w:sz w:val="20"/>
      <w:szCs w:val="20"/>
    </w:rPr>
  </w:style>
  <w:style w:type="paragraph" w:styleId="Remissivo1">
    <w:name w:val="index 1"/>
    <w:basedOn w:val="Normal"/>
    <w:next w:val="Normal"/>
    <w:autoRedefine/>
    <w:uiPriority w:val="99"/>
    <w:semiHidden/>
    <w:unhideWhenUsed/>
    <w:rsid w:val="002A451D"/>
    <w:pPr>
      <w:ind w:left="240" w:hanging="240"/>
    </w:pPr>
  </w:style>
  <w:style w:type="paragraph" w:styleId="Remissivo2">
    <w:name w:val="index 2"/>
    <w:basedOn w:val="Normal"/>
    <w:next w:val="Normal"/>
    <w:autoRedefine/>
    <w:uiPriority w:val="99"/>
    <w:semiHidden/>
    <w:unhideWhenUsed/>
    <w:rsid w:val="002A451D"/>
    <w:pPr>
      <w:ind w:left="480" w:hanging="240"/>
    </w:pPr>
  </w:style>
  <w:style w:type="paragraph" w:styleId="Remissivo3">
    <w:name w:val="index 3"/>
    <w:basedOn w:val="Normal"/>
    <w:next w:val="Normal"/>
    <w:autoRedefine/>
    <w:uiPriority w:val="99"/>
    <w:semiHidden/>
    <w:unhideWhenUsed/>
    <w:rsid w:val="002A451D"/>
    <w:pPr>
      <w:ind w:left="720" w:hanging="240"/>
    </w:pPr>
  </w:style>
  <w:style w:type="paragraph" w:styleId="Remissivo4">
    <w:name w:val="index 4"/>
    <w:basedOn w:val="Normal"/>
    <w:next w:val="Normal"/>
    <w:autoRedefine/>
    <w:uiPriority w:val="99"/>
    <w:semiHidden/>
    <w:unhideWhenUsed/>
    <w:rsid w:val="002A451D"/>
    <w:pPr>
      <w:ind w:left="960" w:hanging="240"/>
    </w:pPr>
  </w:style>
  <w:style w:type="paragraph" w:styleId="Remissivo5">
    <w:name w:val="index 5"/>
    <w:basedOn w:val="Normal"/>
    <w:next w:val="Normal"/>
    <w:autoRedefine/>
    <w:uiPriority w:val="99"/>
    <w:semiHidden/>
    <w:unhideWhenUsed/>
    <w:rsid w:val="002A451D"/>
    <w:pPr>
      <w:ind w:left="1200" w:hanging="240"/>
    </w:pPr>
  </w:style>
  <w:style w:type="paragraph" w:styleId="Remissivo6">
    <w:name w:val="index 6"/>
    <w:basedOn w:val="Normal"/>
    <w:next w:val="Normal"/>
    <w:autoRedefine/>
    <w:uiPriority w:val="99"/>
    <w:semiHidden/>
    <w:unhideWhenUsed/>
    <w:rsid w:val="002A451D"/>
    <w:pPr>
      <w:ind w:left="1440" w:hanging="240"/>
    </w:pPr>
  </w:style>
  <w:style w:type="paragraph" w:styleId="Remissivo7">
    <w:name w:val="index 7"/>
    <w:basedOn w:val="Normal"/>
    <w:next w:val="Normal"/>
    <w:autoRedefine/>
    <w:uiPriority w:val="99"/>
    <w:semiHidden/>
    <w:unhideWhenUsed/>
    <w:rsid w:val="002A451D"/>
    <w:pPr>
      <w:ind w:left="1680" w:hanging="240"/>
    </w:pPr>
  </w:style>
  <w:style w:type="paragraph" w:styleId="Remissivo8">
    <w:name w:val="index 8"/>
    <w:basedOn w:val="Normal"/>
    <w:next w:val="Normal"/>
    <w:autoRedefine/>
    <w:uiPriority w:val="99"/>
    <w:semiHidden/>
    <w:unhideWhenUsed/>
    <w:rsid w:val="002A451D"/>
    <w:pPr>
      <w:ind w:left="1920" w:hanging="240"/>
    </w:pPr>
  </w:style>
  <w:style w:type="paragraph" w:styleId="Remissivo9">
    <w:name w:val="index 9"/>
    <w:basedOn w:val="Normal"/>
    <w:next w:val="Normal"/>
    <w:autoRedefine/>
    <w:uiPriority w:val="99"/>
    <w:semiHidden/>
    <w:unhideWhenUsed/>
    <w:rsid w:val="002A451D"/>
    <w:pPr>
      <w:ind w:left="2160" w:hanging="240"/>
    </w:pPr>
  </w:style>
  <w:style w:type="paragraph" w:styleId="Rodap">
    <w:name w:val="footer"/>
    <w:basedOn w:val="Normal"/>
    <w:link w:val="RodapChar"/>
    <w:uiPriority w:val="99"/>
    <w:unhideWhenUsed/>
    <w:rsid w:val="002A451D"/>
    <w:pPr>
      <w:tabs>
        <w:tab w:val="center" w:pos="4252"/>
        <w:tab w:val="right" w:pos="8504"/>
      </w:tabs>
    </w:pPr>
  </w:style>
  <w:style w:type="character" w:customStyle="1" w:styleId="RodapChar">
    <w:name w:val="Rodapé Char"/>
    <w:basedOn w:val="Fontepargpadro"/>
    <w:link w:val="Rodap"/>
    <w:uiPriority w:val="99"/>
    <w:rsid w:val="002A451D"/>
  </w:style>
  <w:style w:type="paragraph" w:styleId="Saudao">
    <w:name w:val="Salutation"/>
    <w:basedOn w:val="Normal"/>
    <w:next w:val="Normal"/>
    <w:link w:val="SaudaoChar"/>
    <w:uiPriority w:val="99"/>
    <w:semiHidden/>
    <w:unhideWhenUsed/>
    <w:rsid w:val="002A451D"/>
  </w:style>
  <w:style w:type="character" w:customStyle="1" w:styleId="SaudaoChar">
    <w:name w:val="Saudação Char"/>
    <w:basedOn w:val="Fontepargpadro"/>
    <w:link w:val="Saudao"/>
    <w:uiPriority w:val="99"/>
    <w:semiHidden/>
    <w:rsid w:val="002A451D"/>
  </w:style>
  <w:style w:type="paragraph" w:styleId="SemEspaamento">
    <w:name w:val="No Spacing"/>
    <w:uiPriority w:val="1"/>
    <w:qFormat/>
    <w:rsid w:val="002A451D"/>
  </w:style>
  <w:style w:type="paragraph" w:styleId="Sumrio4">
    <w:name w:val="toc 4"/>
    <w:basedOn w:val="Normal"/>
    <w:next w:val="Normal"/>
    <w:autoRedefine/>
    <w:uiPriority w:val="39"/>
    <w:semiHidden/>
    <w:unhideWhenUsed/>
    <w:rsid w:val="002A451D"/>
    <w:pPr>
      <w:spacing w:after="100"/>
      <w:ind w:left="720"/>
    </w:pPr>
  </w:style>
  <w:style w:type="paragraph" w:styleId="Sumrio5">
    <w:name w:val="toc 5"/>
    <w:basedOn w:val="Normal"/>
    <w:next w:val="Normal"/>
    <w:autoRedefine/>
    <w:uiPriority w:val="39"/>
    <w:semiHidden/>
    <w:unhideWhenUsed/>
    <w:rsid w:val="002A451D"/>
    <w:pPr>
      <w:spacing w:after="100"/>
      <w:ind w:left="960"/>
    </w:pPr>
  </w:style>
  <w:style w:type="paragraph" w:styleId="Sumrio6">
    <w:name w:val="toc 6"/>
    <w:basedOn w:val="Normal"/>
    <w:next w:val="Normal"/>
    <w:autoRedefine/>
    <w:uiPriority w:val="39"/>
    <w:semiHidden/>
    <w:unhideWhenUsed/>
    <w:rsid w:val="002A451D"/>
    <w:pPr>
      <w:spacing w:after="100"/>
      <w:ind w:left="1200"/>
    </w:pPr>
  </w:style>
  <w:style w:type="paragraph" w:styleId="Sumrio7">
    <w:name w:val="toc 7"/>
    <w:basedOn w:val="Normal"/>
    <w:next w:val="Normal"/>
    <w:autoRedefine/>
    <w:uiPriority w:val="39"/>
    <w:semiHidden/>
    <w:unhideWhenUsed/>
    <w:rsid w:val="002A451D"/>
    <w:pPr>
      <w:spacing w:after="100"/>
      <w:ind w:left="1440"/>
    </w:pPr>
  </w:style>
  <w:style w:type="paragraph" w:styleId="Sumrio8">
    <w:name w:val="toc 8"/>
    <w:basedOn w:val="Normal"/>
    <w:next w:val="Normal"/>
    <w:autoRedefine/>
    <w:uiPriority w:val="39"/>
    <w:semiHidden/>
    <w:unhideWhenUsed/>
    <w:rsid w:val="002A451D"/>
    <w:pPr>
      <w:spacing w:after="100"/>
      <w:ind w:left="1680"/>
    </w:pPr>
  </w:style>
  <w:style w:type="paragraph" w:styleId="Sumrio9">
    <w:name w:val="toc 9"/>
    <w:basedOn w:val="Normal"/>
    <w:next w:val="Normal"/>
    <w:autoRedefine/>
    <w:uiPriority w:val="39"/>
    <w:semiHidden/>
    <w:unhideWhenUsed/>
    <w:rsid w:val="002A451D"/>
    <w:pPr>
      <w:spacing w:after="100"/>
      <w:ind w:left="1920"/>
    </w:pPr>
  </w:style>
  <w:style w:type="paragraph" w:styleId="Textodemacro">
    <w:name w:val="macro"/>
    <w:link w:val="TextodemacroChar"/>
    <w:uiPriority w:val="99"/>
    <w:semiHidden/>
    <w:unhideWhenUsed/>
    <w:rsid w:val="002A451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demacroChar">
    <w:name w:val="Texto de macro Char"/>
    <w:basedOn w:val="Fontepargpadro"/>
    <w:link w:val="Textodemacro"/>
    <w:uiPriority w:val="99"/>
    <w:semiHidden/>
    <w:rsid w:val="002A451D"/>
    <w:rPr>
      <w:rFonts w:ascii="Consolas" w:hAnsi="Consolas"/>
      <w:sz w:val="20"/>
      <w:szCs w:val="20"/>
    </w:rPr>
  </w:style>
  <w:style w:type="paragraph" w:styleId="Textodenotadefim">
    <w:name w:val="endnote text"/>
    <w:basedOn w:val="Normal"/>
    <w:link w:val="TextodenotadefimChar"/>
    <w:uiPriority w:val="99"/>
    <w:semiHidden/>
    <w:unhideWhenUsed/>
    <w:rsid w:val="002A451D"/>
    <w:rPr>
      <w:sz w:val="20"/>
      <w:szCs w:val="20"/>
    </w:rPr>
  </w:style>
  <w:style w:type="character" w:customStyle="1" w:styleId="TextodenotadefimChar">
    <w:name w:val="Texto de nota de fim Char"/>
    <w:basedOn w:val="Fontepargpadro"/>
    <w:link w:val="Textodenotadefim"/>
    <w:uiPriority w:val="99"/>
    <w:semiHidden/>
    <w:rsid w:val="002A451D"/>
    <w:rPr>
      <w:sz w:val="20"/>
      <w:szCs w:val="20"/>
    </w:rPr>
  </w:style>
  <w:style w:type="paragraph" w:styleId="Textodenotaderodap">
    <w:name w:val="footnote text"/>
    <w:basedOn w:val="Normal"/>
    <w:link w:val="TextodenotaderodapChar"/>
    <w:uiPriority w:val="99"/>
    <w:semiHidden/>
    <w:unhideWhenUsed/>
    <w:rsid w:val="002A451D"/>
    <w:rPr>
      <w:sz w:val="20"/>
      <w:szCs w:val="20"/>
    </w:rPr>
  </w:style>
  <w:style w:type="character" w:customStyle="1" w:styleId="TextodenotaderodapChar">
    <w:name w:val="Texto de nota de rodapé Char"/>
    <w:basedOn w:val="Fontepargpadro"/>
    <w:link w:val="Textodenotaderodap"/>
    <w:uiPriority w:val="99"/>
    <w:semiHidden/>
    <w:rsid w:val="002A451D"/>
    <w:rPr>
      <w:sz w:val="20"/>
      <w:szCs w:val="20"/>
    </w:rPr>
  </w:style>
  <w:style w:type="paragraph" w:styleId="Textoembloco">
    <w:name w:val="Block Text"/>
    <w:basedOn w:val="Normal"/>
    <w:uiPriority w:val="99"/>
    <w:semiHidden/>
    <w:unhideWhenUsed/>
    <w:rsid w:val="002A451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TextosemFormatao">
    <w:name w:val="Plain Text"/>
    <w:basedOn w:val="Normal"/>
    <w:link w:val="TextosemFormataoChar"/>
    <w:uiPriority w:val="99"/>
    <w:semiHidden/>
    <w:unhideWhenUsed/>
    <w:rsid w:val="002A451D"/>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2A451D"/>
    <w:rPr>
      <w:rFonts w:ascii="Consolas" w:hAnsi="Consolas"/>
      <w:sz w:val="21"/>
      <w:szCs w:val="21"/>
    </w:rPr>
  </w:style>
  <w:style w:type="character" w:customStyle="1" w:styleId="Ttulo7Char">
    <w:name w:val="Título 7 Char"/>
    <w:basedOn w:val="Fontepargpadro"/>
    <w:link w:val="Ttulo7"/>
    <w:uiPriority w:val="9"/>
    <w:semiHidden/>
    <w:rsid w:val="002A451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2A451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2A451D"/>
    <w:rPr>
      <w:rFonts w:asciiTheme="majorHAnsi" w:eastAsiaTheme="majorEastAsia" w:hAnsiTheme="majorHAnsi" w:cstheme="majorBidi"/>
      <w:i/>
      <w:iCs/>
      <w:color w:val="404040" w:themeColor="text1" w:themeTint="BF"/>
      <w:sz w:val="20"/>
      <w:szCs w:val="20"/>
    </w:rPr>
  </w:style>
  <w:style w:type="paragraph" w:styleId="Ttulodanota">
    <w:name w:val="Note Heading"/>
    <w:basedOn w:val="Normal"/>
    <w:next w:val="Normal"/>
    <w:link w:val="TtulodanotaChar"/>
    <w:uiPriority w:val="99"/>
    <w:semiHidden/>
    <w:unhideWhenUsed/>
    <w:rsid w:val="002A451D"/>
  </w:style>
  <w:style w:type="character" w:customStyle="1" w:styleId="TtulodanotaChar">
    <w:name w:val="Título da nota Char"/>
    <w:basedOn w:val="Fontepargpadro"/>
    <w:link w:val="Ttulodanota"/>
    <w:uiPriority w:val="99"/>
    <w:semiHidden/>
    <w:rsid w:val="002A451D"/>
  </w:style>
  <w:style w:type="paragraph" w:styleId="Ttulodendicedeautoridades">
    <w:name w:val="toa heading"/>
    <w:basedOn w:val="Normal"/>
    <w:next w:val="Normal"/>
    <w:uiPriority w:val="99"/>
    <w:semiHidden/>
    <w:unhideWhenUsed/>
    <w:rsid w:val="002A451D"/>
    <w:pPr>
      <w:spacing w:before="120"/>
    </w:pPr>
    <w:rPr>
      <w:rFonts w:asciiTheme="majorHAnsi" w:eastAsiaTheme="majorEastAsia" w:hAnsiTheme="majorHAnsi" w:cstheme="majorBidi"/>
      <w:b/>
      <w:bCs/>
    </w:rPr>
  </w:style>
  <w:style w:type="paragraph" w:styleId="Ttulodendiceremissivo">
    <w:name w:val="index heading"/>
    <w:basedOn w:val="Normal"/>
    <w:next w:val="Remissivo1"/>
    <w:uiPriority w:val="99"/>
    <w:semiHidden/>
    <w:unhideWhenUsed/>
    <w:rsid w:val="002A451D"/>
    <w:rPr>
      <w:rFonts w:asciiTheme="majorHAnsi" w:eastAsiaTheme="majorEastAsia" w:hAnsiTheme="majorHAnsi" w:cstheme="majorBidi"/>
      <w:b/>
      <w:bCs/>
    </w:rPr>
  </w:style>
  <w:style w:type="paragraph" w:styleId="Reviso">
    <w:name w:val="Revision"/>
    <w:hidden/>
    <w:uiPriority w:val="99"/>
    <w:semiHidden/>
    <w:rsid w:val="00CC1F7C"/>
  </w:style>
  <w:style w:type="character" w:styleId="Refdenotaderodap">
    <w:name w:val="footnote reference"/>
    <w:basedOn w:val="Fontepargpadro"/>
    <w:uiPriority w:val="99"/>
    <w:semiHidden/>
    <w:unhideWhenUsed/>
    <w:rsid w:val="00126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6853">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0">
          <w:marLeft w:val="0"/>
          <w:marRight w:val="0"/>
          <w:marTop w:val="0"/>
          <w:marBottom w:val="0"/>
          <w:divBdr>
            <w:top w:val="none" w:sz="0" w:space="0" w:color="auto"/>
            <w:left w:val="none" w:sz="0" w:space="0" w:color="auto"/>
            <w:bottom w:val="none" w:sz="0" w:space="0" w:color="auto"/>
            <w:right w:val="none" w:sz="0" w:space="0" w:color="auto"/>
          </w:divBdr>
        </w:div>
      </w:divsChild>
    </w:div>
    <w:div w:id="813523275">
      <w:bodyDiv w:val="1"/>
      <w:marLeft w:val="0"/>
      <w:marRight w:val="0"/>
      <w:marTop w:val="0"/>
      <w:marBottom w:val="0"/>
      <w:divBdr>
        <w:top w:val="none" w:sz="0" w:space="0" w:color="auto"/>
        <w:left w:val="none" w:sz="0" w:space="0" w:color="auto"/>
        <w:bottom w:val="none" w:sz="0" w:space="0" w:color="auto"/>
        <w:right w:val="none" w:sz="0" w:space="0" w:color="auto"/>
      </w:divBdr>
    </w:div>
    <w:div w:id="1318419730">
      <w:bodyDiv w:val="1"/>
      <w:marLeft w:val="0"/>
      <w:marRight w:val="0"/>
      <w:marTop w:val="0"/>
      <w:marBottom w:val="0"/>
      <w:divBdr>
        <w:top w:val="none" w:sz="0" w:space="0" w:color="auto"/>
        <w:left w:val="none" w:sz="0" w:space="0" w:color="auto"/>
        <w:bottom w:val="none" w:sz="0" w:space="0" w:color="auto"/>
        <w:right w:val="none" w:sz="0" w:space="0" w:color="auto"/>
      </w:divBdr>
    </w:div>
    <w:div w:id="1662271470">
      <w:bodyDiv w:val="1"/>
      <w:marLeft w:val="0"/>
      <w:marRight w:val="0"/>
      <w:marTop w:val="0"/>
      <w:marBottom w:val="0"/>
      <w:divBdr>
        <w:top w:val="none" w:sz="0" w:space="0" w:color="auto"/>
        <w:left w:val="none" w:sz="0" w:space="0" w:color="auto"/>
        <w:bottom w:val="none" w:sz="0" w:space="0" w:color="auto"/>
        <w:right w:val="none" w:sz="0" w:space="0" w:color="auto"/>
      </w:divBdr>
      <w:divsChild>
        <w:div w:id="422264892">
          <w:marLeft w:val="0"/>
          <w:marRight w:val="0"/>
          <w:marTop w:val="0"/>
          <w:marBottom w:val="0"/>
          <w:divBdr>
            <w:top w:val="none" w:sz="0" w:space="0" w:color="auto"/>
            <w:left w:val="none" w:sz="0" w:space="0" w:color="auto"/>
            <w:bottom w:val="none" w:sz="0" w:space="0" w:color="auto"/>
            <w:right w:val="none" w:sz="0" w:space="0" w:color="auto"/>
          </w:divBdr>
        </w:div>
      </w:divsChild>
    </w:div>
    <w:div w:id="195771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9640-C9F7-46F5-8529-29581276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11243</Words>
  <Characters>60716</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Cliente</cp:lastModifiedBy>
  <cp:revision>6</cp:revision>
  <cp:lastPrinted>2019-09-02T17:12:00Z</cp:lastPrinted>
  <dcterms:created xsi:type="dcterms:W3CDTF">2021-07-03T14:11:00Z</dcterms:created>
  <dcterms:modified xsi:type="dcterms:W3CDTF">2021-08-02T18:46:00Z</dcterms:modified>
</cp:coreProperties>
</file>